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AB4F" w14:textId="77777777" w:rsidR="003F7E77" w:rsidRPr="001A7C74" w:rsidRDefault="003F7E77" w:rsidP="003F7E77">
      <w:pPr>
        <w:spacing w:after="0" w:line="276" w:lineRule="auto"/>
        <w:jc w:val="center"/>
        <w:rPr>
          <w:rFonts w:ascii="Bookman Old Style" w:hAnsi="Bookman Old Style" w:cs="Times New Roman"/>
          <w:sz w:val="24"/>
          <w:szCs w:val="24"/>
          <w:lang w:val="es-MX"/>
        </w:rPr>
      </w:pPr>
    </w:p>
    <w:p w14:paraId="6497D0F6" w14:textId="788C1D5C" w:rsidR="003F7E77" w:rsidRPr="001A7C74" w:rsidRDefault="003F7E77" w:rsidP="003F7E77">
      <w:pPr>
        <w:spacing w:after="0" w:line="276" w:lineRule="auto"/>
        <w:jc w:val="center"/>
        <w:rPr>
          <w:rFonts w:ascii="Bookman Old Style" w:hAnsi="Bookman Old Style" w:cs="Times New Roman"/>
          <w:b/>
          <w:bCs/>
          <w:sz w:val="24"/>
          <w:szCs w:val="24"/>
          <w:lang w:val="es-MX"/>
        </w:rPr>
      </w:pPr>
      <w:r w:rsidRPr="001A7C74">
        <w:rPr>
          <w:rFonts w:ascii="Bookman Old Style" w:hAnsi="Bookman Old Style" w:cs="Times New Roman"/>
          <w:b/>
          <w:bCs/>
          <w:sz w:val="24"/>
          <w:szCs w:val="24"/>
          <w:lang w:val="es-MX"/>
        </w:rPr>
        <w:t>INFORME DE PONENCIA PARA</w:t>
      </w:r>
      <w:r>
        <w:rPr>
          <w:rFonts w:ascii="Bookman Old Style" w:hAnsi="Bookman Old Style" w:cs="Times New Roman"/>
          <w:b/>
          <w:bCs/>
          <w:sz w:val="24"/>
          <w:szCs w:val="24"/>
          <w:lang w:val="es-MX"/>
        </w:rPr>
        <w:t xml:space="preserve"> PRIMER</w:t>
      </w:r>
      <w:r w:rsidRPr="001A7C74">
        <w:rPr>
          <w:rFonts w:ascii="Bookman Old Style" w:hAnsi="Bookman Old Style" w:cs="Times New Roman"/>
          <w:b/>
          <w:bCs/>
          <w:sz w:val="24"/>
          <w:szCs w:val="24"/>
          <w:lang w:val="es-MX"/>
        </w:rPr>
        <w:t xml:space="preserve"> DEBATE EN PRIMERA VUELTA</w:t>
      </w:r>
      <w:r w:rsidR="00945AAB">
        <w:rPr>
          <w:rFonts w:ascii="Bookman Old Style" w:hAnsi="Bookman Old Style" w:cs="Times New Roman"/>
          <w:b/>
          <w:bCs/>
          <w:sz w:val="24"/>
          <w:szCs w:val="24"/>
          <w:lang w:val="es-MX"/>
        </w:rPr>
        <w:t xml:space="preserve"> EN LA CÁMARA DE REPRESENTANTES</w:t>
      </w:r>
      <w:r w:rsidRPr="001A7C74">
        <w:rPr>
          <w:rFonts w:ascii="Bookman Old Style" w:hAnsi="Bookman Old Style" w:cs="Times New Roman"/>
          <w:b/>
          <w:bCs/>
          <w:sz w:val="24"/>
          <w:szCs w:val="24"/>
          <w:lang w:val="es-MX"/>
        </w:rPr>
        <w:t xml:space="preserve"> AL PROYECTO DE ACTO LEGISLATIVO </w:t>
      </w:r>
      <w:r>
        <w:rPr>
          <w:rFonts w:ascii="Bookman Old Style" w:hAnsi="Bookman Old Style" w:cs="Times New Roman"/>
          <w:b/>
          <w:bCs/>
          <w:sz w:val="24"/>
          <w:szCs w:val="24"/>
          <w:lang w:val="es-MX"/>
        </w:rPr>
        <w:t>444</w:t>
      </w:r>
      <w:r w:rsidRPr="001A7C74">
        <w:rPr>
          <w:rFonts w:ascii="Bookman Old Style" w:hAnsi="Bookman Old Style" w:cs="Times New Roman"/>
          <w:b/>
          <w:bCs/>
          <w:sz w:val="24"/>
          <w:szCs w:val="24"/>
          <w:lang w:val="es-MX"/>
        </w:rPr>
        <w:t xml:space="preserve"> DE 202</w:t>
      </w:r>
      <w:r>
        <w:rPr>
          <w:rFonts w:ascii="Bookman Old Style" w:hAnsi="Bookman Old Style" w:cs="Times New Roman"/>
          <w:b/>
          <w:bCs/>
          <w:sz w:val="24"/>
          <w:szCs w:val="24"/>
          <w:lang w:val="es-MX"/>
        </w:rPr>
        <w:t>2</w:t>
      </w:r>
      <w:r w:rsidRPr="001A7C74">
        <w:rPr>
          <w:rFonts w:ascii="Bookman Old Style" w:hAnsi="Bookman Old Style" w:cs="Times New Roman"/>
          <w:b/>
          <w:bCs/>
          <w:sz w:val="24"/>
          <w:szCs w:val="24"/>
          <w:lang w:val="es-MX"/>
        </w:rPr>
        <w:t xml:space="preserve"> CÁMARA </w:t>
      </w:r>
      <w:r w:rsidRPr="001A7C74">
        <w:rPr>
          <w:rFonts w:ascii="Bookman Old Style" w:hAnsi="Bookman Old Style" w:cs="Times New Roman"/>
          <w:sz w:val="24"/>
          <w:szCs w:val="24"/>
          <w:lang w:val="es-MX"/>
        </w:rPr>
        <w:t>“por el cual se modifica el artículo 65 de la Constitución Política de Colombia”.</w:t>
      </w:r>
    </w:p>
    <w:p w14:paraId="2F385059" w14:textId="77777777" w:rsidR="003F7E77" w:rsidRPr="001A7C74" w:rsidRDefault="003F7E77" w:rsidP="003F7E77">
      <w:pPr>
        <w:spacing w:after="0" w:line="276" w:lineRule="auto"/>
        <w:rPr>
          <w:rFonts w:ascii="Bookman Old Style" w:hAnsi="Bookman Old Style" w:cs="Times New Roman"/>
          <w:b/>
          <w:bCs/>
          <w:sz w:val="24"/>
          <w:szCs w:val="24"/>
          <w:lang w:val="es-MX"/>
        </w:rPr>
      </w:pPr>
    </w:p>
    <w:p w14:paraId="1E6F3E26" w14:textId="77777777" w:rsidR="003F7E77" w:rsidRPr="001A7C74" w:rsidRDefault="003F7E77" w:rsidP="003F7E77">
      <w:pPr>
        <w:spacing w:after="0" w:line="276" w:lineRule="auto"/>
        <w:rPr>
          <w:rFonts w:ascii="Bookman Old Style" w:hAnsi="Bookman Old Style" w:cs="Times New Roman"/>
          <w:sz w:val="24"/>
          <w:szCs w:val="24"/>
          <w:lang w:val="es-MX"/>
        </w:rPr>
      </w:pPr>
    </w:p>
    <w:p w14:paraId="2CB00D26" w14:textId="77777777" w:rsidR="003F7E77" w:rsidRPr="001A7C74" w:rsidRDefault="003F7E77" w:rsidP="003F7E77">
      <w:pPr>
        <w:spacing w:after="0" w:line="276" w:lineRule="auto"/>
        <w:rPr>
          <w:rFonts w:ascii="Bookman Old Style" w:hAnsi="Bookman Old Style" w:cs="Times New Roman"/>
          <w:sz w:val="24"/>
          <w:szCs w:val="24"/>
          <w:lang w:val="es-MX"/>
        </w:rPr>
      </w:pPr>
    </w:p>
    <w:p w14:paraId="78F5405F" w14:textId="74008E5B" w:rsidR="003F7E77" w:rsidRPr="001A7C74" w:rsidRDefault="003F7E77" w:rsidP="003F7E77">
      <w:pPr>
        <w:spacing w:after="0" w:line="276" w:lineRule="auto"/>
        <w:rPr>
          <w:rFonts w:ascii="Bookman Old Style" w:hAnsi="Bookman Old Style" w:cs="Times New Roman"/>
          <w:sz w:val="24"/>
          <w:szCs w:val="24"/>
          <w:lang w:val="es-MX"/>
        </w:rPr>
      </w:pPr>
      <w:r w:rsidRPr="001A7C74">
        <w:rPr>
          <w:rFonts w:ascii="Bookman Old Style" w:hAnsi="Bookman Old Style" w:cs="Times New Roman"/>
          <w:sz w:val="24"/>
          <w:szCs w:val="24"/>
          <w:lang w:val="es-MX"/>
        </w:rPr>
        <w:t xml:space="preserve">Bogotá D.C., </w:t>
      </w:r>
      <w:r>
        <w:rPr>
          <w:rFonts w:ascii="Bookman Old Style" w:hAnsi="Bookman Old Style" w:cs="Times New Roman"/>
          <w:sz w:val="24"/>
          <w:szCs w:val="24"/>
          <w:lang w:val="es-MX"/>
        </w:rPr>
        <w:t>19</w:t>
      </w:r>
      <w:r w:rsidRPr="001A7C74">
        <w:rPr>
          <w:rFonts w:ascii="Bookman Old Style" w:hAnsi="Bookman Old Style" w:cs="Times New Roman"/>
          <w:sz w:val="24"/>
          <w:szCs w:val="24"/>
          <w:lang w:val="es-MX"/>
        </w:rPr>
        <w:t xml:space="preserve"> de </w:t>
      </w:r>
      <w:r>
        <w:rPr>
          <w:rFonts w:ascii="Bookman Old Style" w:hAnsi="Bookman Old Style" w:cs="Times New Roman"/>
          <w:sz w:val="24"/>
          <w:szCs w:val="24"/>
          <w:lang w:val="es-MX"/>
        </w:rPr>
        <w:t>abril</w:t>
      </w:r>
      <w:r w:rsidRPr="001A7C74">
        <w:rPr>
          <w:rFonts w:ascii="Bookman Old Style" w:hAnsi="Bookman Old Style" w:cs="Times New Roman"/>
          <w:sz w:val="24"/>
          <w:szCs w:val="24"/>
          <w:lang w:val="es-MX"/>
        </w:rPr>
        <w:t xml:space="preserve"> de 202</w:t>
      </w:r>
      <w:r>
        <w:rPr>
          <w:rFonts w:ascii="Bookman Old Style" w:hAnsi="Bookman Old Style" w:cs="Times New Roman"/>
          <w:sz w:val="24"/>
          <w:szCs w:val="24"/>
          <w:lang w:val="es-MX"/>
        </w:rPr>
        <w:t>2</w:t>
      </w:r>
    </w:p>
    <w:p w14:paraId="73B366FB" w14:textId="77777777" w:rsidR="003F7E77" w:rsidRPr="001A7C74" w:rsidRDefault="003F7E77" w:rsidP="003F7E77">
      <w:pPr>
        <w:spacing w:after="0" w:line="276" w:lineRule="auto"/>
        <w:rPr>
          <w:rFonts w:ascii="Bookman Old Style" w:hAnsi="Bookman Old Style" w:cs="Times New Roman"/>
          <w:sz w:val="24"/>
          <w:szCs w:val="24"/>
          <w:lang w:val="es-MX"/>
        </w:rPr>
      </w:pPr>
    </w:p>
    <w:p w14:paraId="4482AFBB" w14:textId="77777777" w:rsidR="003F7E77" w:rsidRPr="001A7C74" w:rsidRDefault="003F7E77" w:rsidP="003F7E77">
      <w:pPr>
        <w:spacing w:after="0" w:line="276" w:lineRule="auto"/>
        <w:rPr>
          <w:rFonts w:ascii="Bookman Old Style" w:hAnsi="Bookman Old Style" w:cs="Times New Roman"/>
          <w:sz w:val="24"/>
          <w:szCs w:val="24"/>
          <w:lang w:val="es-MX"/>
        </w:rPr>
      </w:pPr>
    </w:p>
    <w:p w14:paraId="649C7F35" w14:textId="77777777" w:rsidR="003F7E77" w:rsidRPr="001A7C74" w:rsidRDefault="003F7E77" w:rsidP="003F7E77">
      <w:pPr>
        <w:spacing w:after="0" w:line="276" w:lineRule="auto"/>
        <w:rPr>
          <w:rFonts w:ascii="Bookman Old Style" w:hAnsi="Bookman Old Style" w:cs="Times New Roman"/>
          <w:sz w:val="24"/>
          <w:szCs w:val="24"/>
          <w:lang w:val="es-MX"/>
        </w:rPr>
      </w:pPr>
      <w:r w:rsidRPr="001A7C74">
        <w:rPr>
          <w:rFonts w:ascii="Bookman Old Style" w:hAnsi="Bookman Old Style" w:cs="Times New Roman"/>
          <w:sz w:val="24"/>
          <w:szCs w:val="24"/>
          <w:lang w:val="es-MX"/>
        </w:rPr>
        <w:t>Honorable Representante</w:t>
      </w:r>
    </w:p>
    <w:p w14:paraId="62C91222" w14:textId="77777777" w:rsidR="003F7E77" w:rsidRPr="001A7C74" w:rsidRDefault="003F7E77" w:rsidP="003F7E77">
      <w:pPr>
        <w:spacing w:after="0" w:line="276" w:lineRule="auto"/>
        <w:rPr>
          <w:rFonts w:ascii="Bookman Old Style" w:hAnsi="Bookman Old Style" w:cs="Times New Roman"/>
          <w:b/>
          <w:sz w:val="24"/>
          <w:szCs w:val="24"/>
          <w:lang w:val="es-MX"/>
        </w:rPr>
      </w:pPr>
      <w:r w:rsidRPr="001A7C74">
        <w:rPr>
          <w:rFonts w:ascii="Bookman Old Style" w:hAnsi="Bookman Old Style" w:cs="Times New Roman"/>
          <w:b/>
          <w:sz w:val="24"/>
          <w:szCs w:val="24"/>
          <w:lang w:val="es-MX"/>
        </w:rPr>
        <w:t>JULIO CÉSAR TRIANA QUINTERO</w:t>
      </w:r>
    </w:p>
    <w:p w14:paraId="56C9822F" w14:textId="77777777" w:rsidR="003F7E77" w:rsidRPr="001A7C74" w:rsidRDefault="003F7E77" w:rsidP="003F7E77">
      <w:pPr>
        <w:spacing w:after="0" w:line="276" w:lineRule="auto"/>
        <w:rPr>
          <w:rFonts w:ascii="Bookman Old Style" w:hAnsi="Bookman Old Style" w:cs="Times New Roman"/>
          <w:sz w:val="24"/>
          <w:szCs w:val="24"/>
          <w:lang w:val="es-MX"/>
        </w:rPr>
      </w:pPr>
      <w:r w:rsidRPr="001A7C74">
        <w:rPr>
          <w:rFonts w:ascii="Bookman Old Style" w:hAnsi="Bookman Old Style" w:cs="Times New Roman"/>
          <w:sz w:val="24"/>
          <w:szCs w:val="24"/>
          <w:lang w:val="es-MX"/>
        </w:rPr>
        <w:t xml:space="preserve">Presidente </w:t>
      </w:r>
    </w:p>
    <w:p w14:paraId="0B942B21" w14:textId="77777777" w:rsidR="003F7E77" w:rsidRPr="001A7C74" w:rsidRDefault="003F7E77" w:rsidP="003F7E77">
      <w:pPr>
        <w:spacing w:after="0" w:line="276" w:lineRule="auto"/>
        <w:rPr>
          <w:rFonts w:ascii="Bookman Old Style" w:hAnsi="Bookman Old Style" w:cs="Times New Roman"/>
          <w:b/>
          <w:bCs/>
          <w:sz w:val="24"/>
          <w:szCs w:val="24"/>
          <w:lang w:val="es-MX"/>
        </w:rPr>
      </w:pPr>
      <w:r w:rsidRPr="001A7C74">
        <w:rPr>
          <w:rFonts w:ascii="Bookman Old Style" w:hAnsi="Bookman Old Style" w:cs="Times New Roman"/>
          <w:b/>
          <w:bCs/>
          <w:sz w:val="24"/>
          <w:szCs w:val="24"/>
          <w:lang w:val="es-MX"/>
        </w:rPr>
        <w:t>Comisión Primera Constitucional Permanente</w:t>
      </w:r>
    </w:p>
    <w:p w14:paraId="4E475399" w14:textId="77777777" w:rsidR="003F7E77" w:rsidRPr="001A7C74" w:rsidRDefault="003F7E77" w:rsidP="003F7E77">
      <w:pPr>
        <w:spacing w:after="0" w:line="276" w:lineRule="auto"/>
        <w:rPr>
          <w:rFonts w:ascii="Bookman Old Style" w:hAnsi="Bookman Old Style" w:cs="Times New Roman"/>
          <w:sz w:val="24"/>
          <w:szCs w:val="24"/>
          <w:lang w:val="es-MX"/>
        </w:rPr>
      </w:pPr>
      <w:r w:rsidRPr="001A7C74">
        <w:rPr>
          <w:rFonts w:ascii="Bookman Old Style" w:hAnsi="Bookman Old Style" w:cs="Times New Roman"/>
          <w:sz w:val="24"/>
          <w:szCs w:val="24"/>
          <w:lang w:val="es-MX"/>
        </w:rPr>
        <w:t>Cámara de Representantes</w:t>
      </w:r>
    </w:p>
    <w:p w14:paraId="215F00C8" w14:textId="77777777" w:rsidR="003F7E77" w:rsidRPr="001A7C74" w:rsidRDefault="003F7E77" w:rsidP="003F7E77">
      <w:pPr>
        <w:spacing w:after="0" w:line="276" w:lineRule="auto"/>
        <w:rPr>
          <w:rFonts w:ascii="Bookman Old Style" w:hAnsi="Bookman Old Style" w:cs="Times New Roman"/>
          <w:sz w:val="24"/>
          <w:szCs w:val="24"/>
          <w:lang w:val="es-MX"/>
        </w:rPr>
      </w:pPr>
      <w:r w:rsidRPr="001A7C74">
        <w:rPr>
          <w:rFonts w:ascii="Bookman Old Style" w:hAnsi="Bookman Old Style" w:cs="Times New Roman"/>
          <w:sz w:val="24"/>
          <w:szCs w:val="24"/>
          <w:lang w:val="es-MX"/>
        </w:rPr>
        <w:t>Ciudad.</w:t>
      </w:r>
    </w:p>
    <w:p w14:paraId="54ADB738" w14:textId="77777777" w:rsidR="003F7E77" w:rsidRPr="001A7C74" w:rsidRDefault="003F7E77" w:rsidP="003F7E77">
      <w:pPr>
        <w:spacing w:after="0" w:line="276" w:lineRule="auto"/>
        <w:rPr>
          <w:rFonts w:ascii="Bookman Old Style" w:hAnsi="Bookman Old Style" w:cs="Times New Roman"/>
          <w:sz w:val="24"/>
          <w:szCs w:val="24"/>
          <w:lang w:val="es-MX"/>
        </w:rPr>
      </w:pPr>
    </w:p>
    <w:p w14:paraId="275AD2E3" w14:textId="77777777" w:rsidR="003F7E77" w:rsidRPr="001A7C74" w:rsidRDefault="003F7E77" w:rsidP="003F7E77">
      <w:pPr>
        <w:spacing w:after="0" w:line="276" w:lineRule="auto"/>
        <w:rPr>
          <w:rFonts w:ascii="Bookman Old Style" w:hAnsi="Bookman Old Style" w:cs="Times New Roman"/>
          <w:sz w:val="24"/>
          <w:szCs w:val="24"/>
          <w:lang w:val="es-MX"/>
        </w:rPr>
      </w:pPr>
    </w:p>
    <w:p w14:paraId="62590563" w14:textId="53281352" w:rsidR="003F7E77" w:rsidRPr="001A7C74" w:rsidRDefault="003F7E77" w:rsidP="003F7E77">
      <w:pPr>
        <w:spacing w:after="0" w:line="276" w:lineRule="auto"/>
        <w:ind w:left="1416"/>
        <w:jc w:val="both"/>
        <w:rPr>
          <w:rFonts w:ascii="Bookman Old Style" w:hAnsi="Bookman Old Style" w:cs="Times New Roman"/>
          <w:b/>
          <w:bCs/>
          <w:sz w:val="24"/>
          <w:szCs w:val="24"/>
          <w:lang w:val="es-MX"/>
        </w:rPr>
      </w:pPr>
      <w:r w:rsidRPr="001A7C74">
        <w:rPr>
          <w:rFonts w:ascii="Bookman Old Style" w:hAnsi="Bookman Old Style" w:cs="Times New Roman"/>
          <w:b/>
          <w:bCs/>
          <w:sz w:val="24"/>
          <w:szCs w:val="24"/>
          <w:lang w:val="es-MX"/>
        </w:rPr>
        <w:t xml:space="preserve">Referencia: Ponencia para </w:t>
      </w:r>
      <w:r>
        <w:rPr>
          <w:rFonts w:ascii="Bookman Old Style" w:hAnsi="Bookman Old Style" w:cs="Times New Roman"/>
          <w:b/>
          <w:bCs/>
          <w:sz w:val="24"/>
          <w:szCs w:val="24"/>
          <w:lang w:val="es-MX"/>
        </w:rPr>
        <w:t>primer</w:t>
      </w:r>
      <w:r w:rsidRPr="001A7C74">
        <w:rPr>
          <w:rFonts w:ascii="Bookman Old Style" w:hAnsi="Bookman Old Style" w:cs="Times New Roman"/>
          <w:b/>
          <w:bCs/>
          <w:sz w:val="24"/>
          <w:szCs w:val="24"/>
          <w:lang w:val="es-MX"/>
        </w:rPr>
        <w:t xml:space="preserve"> debate en primera vuelta al Proyecto de Acto Legislativo </w:t>
      </w:r>
      <w:r>
        <w:rPr>
          <w:rFonts w:ascii="Bookman Old Style" w:hAnsi="Bookman Old Style" w:cs="Times New Roman"/>
          <w:b/>
          <w:bCs/>
          <w:sz w:val="24"/>
          <w:szCs w:val="24"/>
          <w:lang w:val="es-MX"/>
        </w:rPr>
        <w:t>444</w:t>
      </w:r>
      <w:r w:rsidRPr="001A7C74">
        <w:rPr>
          <w:rFonts w:ascii="Bookman Old Style" w:hAnsi="Bookman Old Style" w:cs="Times New Roman"/>
          <w:b/>
          <w:bCs/>
          <w:sz w:val="24"/>
          <w:szCs w:val="24"/>
          <w:lang w:val="es-MX"/>
        </w:rPr>
        <w:t xml:space="preserve"> de 202</w:t>
      </w:r>
      <w:r>
        <w:rPr>
          <w:rFonts w:ascii="Bookman Old Style" w:hAnsi="Bookman Old Style" w:cs="Times New Roman"/>
          <w:b/>
          <w:bCs/>
          <w:sz w:val="24"/>
          <w:szCs w:val="24"/>
          <w:lang w:val="es-MX"/>
        </w:rPr>
        <w:t>2</w:t>
      </w:r>
      <w:r w:rsidRPr="001A7C74">
        <w:rPr>
          <w:rFonts w:ascii="Bookman Old Style" w:hAnsi="Bookman Old Style" w:cs="Times New Roman"/>
          <w:b/>
          <w:bCs/>
          <w:sz w:val="24"/>
          <w:szCs w:val="24"/>
          <w:lang w:val="es-MX"/>
        </w:rPr>
        <w:t xml:space="preserve"> Cámara “por el cual se modifica el artículo 65 de la Constitución Política de Colombia”.</w:t>
      </w:r>
    </w:p>
    <w:p w14:paraId="0C308647" w14:textId="77777777" w:rsidR="003F7E77" w:rsidRPr="001A7C74" w:rsidRDefault="003F7E77" w:rsidP="003F7E77">
      <w:pPr>
        <w:spacing w:after="0" w:line="276" w:lineRule="auto"/>
        <w:jc w:val="both"/>
        <w:rPr>
          <w:rFonts w:ascii="Bookman Old Style" w:hAnsi="Bookman Old Style" w:cs="Times New Roman"/>
          <w:sz w:val="24"/>
          <w:szCs w:val="24"/>
          <w:lang w:val="es-MX"/>
        </w:rPr>
      </w:pPr>
    </w:p>
    <w:p w14:paraId="3C9C0711" w14:textId="77777777" w:rsidR="003F7E77" w:rsidRPr="001A7C74" w:rsidRDefault="003F7E77" w:rsidP="003F7E77">
      <w:pPr>
        <w:spacing w:after="0" w:line="276" w:lineRule="auto"/>
        <w:jc w:val="both"/>
        <w:rPr>
          <w:rFonts w:ascii="Bookman Old Style" w:hAnsi="Bookman Old Style" w:cs="Times New Roman"/>
          <w:sz w:val="24"/>
          <w:szCs w:val="24"/>
          <w:lang w:val="es-MX"/>
        </w:rPr>
      </w:pPr>
    </w:p>
    <w:p w14:paraId="48C7F6A2" w14:textId="3E01BCA0" w:rsidR="003F7E77" w:rsidRPr="001A7C74" w:rsidRDefault="003F7E77" w:rsidP="003F7E77">
      <w:pPr>
        <w:spacing w:after="0" w:line="276" w:lineRule="auto"/>
        <w:jc w:val="both"/>
        <w:rPr>
          <w:rFonts w:ascii="Bookman Old Style" w:hAnsi="Bookman Old Style" w:cs="Times New Roman"/>
          <w:sz w:val="24"/>
          <w:szCs w:val="24"/>
          <w:lang w:val="es-MX"/>
        </w:rPr>
      </w:pPr>
      <w:r w:rsidRPr="001A7C74">
        <w:rPr>
          <w:rFonts w:ascii="Bookman Old Style" w:hAnsi="Bookman Old Style" w:cs="Times New Roman"/>
          <w:sz w:val="24"/>
          <w:szCs w:val="24"/>
          <w:lang w:val="es-MX"/>
        </w:rPr>
        <w:t xml:space="preserve">Respetado </w:t>
      </w:r>
      <w:r>
        <w:rPr>
          <w:rFonts w:ascii="Bookman Old Style" w:hAnsi="Bookman Old Style" w:cs="Times New Roman"/>
          <w:sz w:val="24"/>
          <w:szCs w:val="24"/>
          <w:lang w:val="es-MX"/>
        </w:rPr>
        <w:t>p</w:t>
      </w:r>
      <w:r w:rsidRPr="001A7C74">
        <w:rPr>
          <w:rFonts w:ascii="Bookman Old Style" w:hAnsi="Bookman Old Style" w:cs="Times New Roman"/>
          <w:sz w:val="24"/>
          <w:szCs w:val="24"/>
          <w:lang w:val="es-MX"/>
        </w:rPr>
        <w:t>residente:</w:t>
      </w:r>
    </w:p>
    <w:p w14:paraId="3A4D8E6D" w14:textId="77777777" w:rsidR="003F7E77" w:rsidRPr="001A7C74" w:rsidRDefault="003F7E77" w:rsidP="003F7E77">
      <w:pPr>
        <w:spacing w:after="0" w:line="276" w:lineRule="auto"/>
        <w:jc w:val="both"/>
        <w:rPr>
          <w:rFonts w:ascii="Bookman Old Style" w:hAnsi="Bookman Old Style" w:cs="Times New Roman"/>
          <w:sz w:val="24"/>
          <w:szCs w:val="24"/>
          <w:lang w:val="es-MX"/>
        </w:rPr>
      </w:pPr>
    </w:p>
    <w:p w14:paraId="4C5DC2D0" w14:textId="77777777" w:rsidR="003F7E77" w:rsidRDefault="003F7E77" w:rsidP="003F7E77">
      <w:pPr>
        <w:spacing w:after="0" w:line="276" w:lineRule="auto"/>
        <w:jc w:val="both"/>
        <w:rPr>
          <w:rFonts w:ascii="Bookman Old Style" w:hAnsi="Bookman Old Style" w:cs="Times New Roman"/>
          <w:sz w:val="24"/>
          <w:szCs w:val="24"/>
          <w:lang w:val="es-ES"/>
        </w:rPr>
      </w:pPr>
      <w:r w:rsidRPr="001A7C74">
        <w:rPr>
          <w:rFonts w:ascii="Bookman Old Style" w:hAnsi="Bookman Old Style" w:cs="Times New Roman"/>
          <w:sz w:val="24"/>
          <w:szCs w:val="24"/>
          <w:lang w:val="es-ES"/>
        </w:rPr>
        <w:t>En cumplimiento de la designación efectuada por la Mesa Directiva de la Comisión Primera de la Cámara de Representantes, en los términos consagrados en la Ley 5ª de 1992, me permito radicar el informe de ponencia positivo al Proyecto de Acto Legislativo de la referencia, el cual consta de los siguientes puntos:</w:t>
      </w:r>
    </w:p>
    <w:p w14:paraId="44078FE3" w14:textId="77777777" w:rsidR="003F7E77" w:rsidRDefault="003F7E77" w:rsidP="003F7E77">
      <w:pPr>
        <w:rPr>
          <w:rFonts w:ascii="Bookman Old Style" w:hAnsi="Bookman Old Style" w:cs="Times New Roman"/>
          <w:sz w:val="24"/>
          <w:szCs w:val="24"/>
          <w:lang w:val="es-ES"/>
        </w:rPr>
      </w:pPr>
      <w:r>
        <w:rPr>
          <w:rFonts w:ascii="Bookman Old Style" w:hAnsi="Bookman Old Style" w:cs="Times New Roman"/>
          <w:sz w:val="24"/>
          <w:szCs w:val="24"/>
          <w:lang w:val="es-ES"/>
        </w:rPr>
        <w:br w:type="page"/>
      </w:r>
    </w:p>
    <w:p w14:paraId="7127C7A3" w14:textId="77777777" w:rsidR="003F7E77" w:rsidRPr="001A7C74" w:rsidRDefault="003F7E77" w:rsidP="003F7E77">
      <w:pPr>
        <w:spacing w:after="0" w:line="276" w:lineRule="auto"/>
        <w:jc w:val="both"/>
        <w:rPr>
          <w:rFonts w:ascii="Bookman Old Style" w:hAnsi="Bookman Old Style" w:cs="Times New Roman"/>
          <w:sz w:val="24"/>
          <w:szCs w:val="24"/>
          <w:lang w:val="es-ES"/>
        </w:rPr>
      </w:pPr>
    </w:p>
    <w:p w14:paraId="1E229FB1" w14:textId="77777777" w:rsidR="003F7E77" w:rsidRPr="001A7C74" w:rsidRDefault="003F7E77" w:rsidP="003F7E77">
      <w:pPr>
        <w:spacing w:after="0" w:line="276" w:lineRule="auto"/>
        <w:jc w:val="both"/>
        <w:rPr>
          <w:rFonts w:ascii="Bookman Old Style" w:hAnsi="Bookman Old Style" w:cs="Times New Roman"/>
          <w:b/>
          <w:sz w:val="24"/>
          <w:szCs w:val="24"/>
          <w:lang w:val="es-ES"/>
        </w:rPr>
      </w:pPr>
    </w:p>
    <w:p w14:paraId="31551D4C" w14:textId="77777777" w:rsidR="003F7E77" w:rsidRPr="001A7C74" w:rsidRDefault="003F7E77" w:rsidP="003F7E77">
      <w:pPr>
        <w:pStyle w:val="Prrafodelista"/>
        <w:numPr>
          <w:ilvl w:val="0"/>
          <w:numId w:val="1"/>
        </w:numPr>
        <w:spacing w:after="0" w:line="276" w:lineRule="auto"/>
        <w:jc w:val="both"/>
        <w:rPr>
          <w:rFonts w:ascii="Bookman Old Style" w:hAnsi="Bookman Old Style" w:cs="Times New Roman"/>
          <w:b/>
          <w:sz w:val="24"/>
          <w:szCs w:val="24"/>
          <w:lang w:val="es-MX"/>
        </w:rPr>
      </w:pPr>
      <w:r w:rsidRPr="001A7C74">
        <w:rPr>
          <w:rFonts w:ascii="Bookman Old Style" w:hAnsi="Bookman Old Style" w:cs="Times New Roman"/>
          <w:b/>
          <w:sz w:val="24"/>
          <w:szCs w:val="24"/>
          <w:lang w:val="es-MX"/>
        </w:rPr>
        <w:t>Trámite</w:t>
      </w:r>
    </w:p>
    <w:p w14:paraId="2951B7D7" w14:textId="77777777" w:rsidR="003F7E77" w:rsidRPr="001A7C74" w:rsidRDefault="003F7E77" w:rsidP="003F7E77">
      <w:pPr>
        <w:spacing w:after="0" w:line="276" w:lineRule="auto"/>
        <w:jc w:val="both"/>
        <w:rPr>
          <w:rFonts w:ascii="Bookman Old Style" w:hAnsi="Bookman Old Style" w:cs="Times New Roman"/>
          <w:b/>
          <w:sz w:val="24"/>
          <w:szCs w:val="24"/>
          <w:lang w:val="es-MX"/>
        </w:rPr>
      </w:pPr>
    </w:p>
    <w:p w14:paraId="3F0674AB" w14:textId="044B655C" w:rsidR="003F7E77" w:rsidRPr="001A7C74" w:rsidRDefault="003F7E77" w:rsidP="003F7E77">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lang w:val="es-MX"/>
        </w:rPr>
        <w:t>El presente Proyecto de Acto Legislativo fue radicado ante la Secretaría General de</w:t>
      </w:r>
      <w:r>
        <w:rPr>
          <w:rFonts w:ascii="Bookman Old Style" w:hAnsi="Bookman Old Style" w:cs="Times New Roman"/>
          <w:sz w:val="24"/>
          <w:szCs w:val="24"/>
          <w:lang w:val="es-MX"/>
        </w:rPr>
        <w:t xml:space="preserve"> la Cámara de Representantes </w:t>
      </w:r>
      <w:r w:rsidRPr="001A7C74">
        <w:rPr>
          <w:rFonts w:ascii="Bookman Old Style" w:hAnsi="Bookman Old Style" w:cs="Times New Roman"/>
          <w:sz w:val="24"/>
          <w:szCs w:val="24"/>
          <w:lang w:val="es-MX"/>
        </w:rPr>
        <w:t xml:space="preserve">, el pasado </w:t>
      </w:r>
      <w:r>
        <w:rPr>
          <w:rFonts w:ascii="Bookman Old Style" w:hAnsi="Bookman Old Style" w:cs="Times New Roman"/>
          <w:sz w:val="24"/>
          <w:szCs w:val="24"/>
          <w:lang w:val="es-MX"/>
        </w:rPr>
        <w:t>30</w:t>
      </w:r>
      <w:r w:rsidRPr="001A7C74">
        <w:rPr>
          <w:rFonts w:ascii="Bookman Old Style" w:hAnsi="Bookman Old Style" w:cs="Times New Roman"/>
          <w:sz w:val="24"/>
          <w:szCs w:val="24"/>
          <w:lang w:val="es-MX"/>
        </w:rPr>
        <w:t xml:space="preserve"> de </w:t>
      </w:r>
      <w:r>
        <w:rPr>
          <w:rFonts w:ascii="Bookman Old Style" w:hAnsi="Bookman Old Style" w:cs="Times New Roman"/>
          <w:sz w:val="24"/>
          <w:szCs w:val="24"/>
          <w:lang w:val="es-MX"/>
        </w:rPr>
        <w:t>marzo</w:t>
      </w:r>
      <w:r w:rsidRPr="001A7C74">
        <w:rPr>
          <w:rFonts w:ascii="Bookman Old Style" w:hAnsi="Bookman Old Style" w:cs="Times New Roman"/>
          <w:sz w:val="24"/>
          <w:szCs w:val="24"/>
          <w:lang w:val="es-MX"/>
        </w:rPr>
        <w:t xml:space="preserve"> de 202</w:t>
      </w:r>
      <w:r>
        <w:rPr>
          <w:rFonts w:ascii="Bookman Old Style" w:hAnsi="Bookman Old Style" w:cs="Times New Roman"/>
          <w:sz w:val="24"/>
          <w:szCs w:val="24"/>
          <w:lang w:val="es-MX"/>
        </w:rPr>
        <w:t>2</w:t>
      </w:r>
      <w:r w:rsidRPr="001A7C74">
        <w:rPr>
          <w:rFonts w:ascii="Bookman Old Style" w:hAnsi="Bookman Old Style" w:cs="Times New Roman"/>
          <w:sz w:val="24"/>
          <w:szCs w:val="24"/>
          <w:lang w:val="es-MX"/>
        </w:rPr>
        <w:t xml:space="preserve">, por los Honorables Senadores: </w:t>
      </w:r>
      <w:proofErr w:type="spellStart"/>
      <w:r w:rsidRPr="003F7E77">
        <w:rPr>
          <w:rFonts w:ascii="Bookman Old Style" w:hAnsi="Bookman Old Style" w:cs="Times New Roman"/>
          <w:sz w:val="24"/>
          <w:szCs w:val="24"/>
        </w:rPr>
        <w:t>Berner</w:t>
      </w:r>
      <w:proofErr w:type="spellEnd"/>
      <w:r w:rsidRPr="003F7E77">
        <w:rPr>
          <w:rFonts w:ascii="Bookman Old Style" w:hAnsi="Bookman Old Style" w:cs="Times New Roman"/>
          <w:sz w:val="24"/>
          <w:szCs w:val="24"/>
        </w:rPr>
        <w:t xml:space="preserve"> león Zambrano Erazo</w:t>
      </w:r>
      <w:r>
        <w:rPr>
          <w:rFonts w:ascii="Bookman Old Style" w:hAnsi="Bookman Old Style" w:cs="Times New Roman"/>
          <w:sz w:val="24"/>
          <w:szCs w:val="24"/>
        </w:rPr>
        <w:t xml:space="preserve">, </w:t>
      </w:r>
      <w:r w:rsidRPr="003F7E77">
        <w:rPr>
          <w:rFonts w:ascii="Bookman Old Style" w:hAnsi="Bookman Old Style" w:cs="Times New Roman"/>
          <w:sz w:val="24"/>
          <w:szCs w:val="24"/>
        </w:rPr>
        <w:t>Myriam Alicia Paredes Aguirre, Aida Yolanda Avella Esquivel,</w:t>
      </w:r>
      <w:r>
        <w:rPr>
          <w:rFonts w:ascii="Bookman Old Style" w:hAnsi="Bookman Old Style" w:cs="Times New Roman"/>
          <w:sz w:val="24"/>
          <w:szCs w:val="24"/>
        </w:rPr>
        <w:t xml:space="preserve"> </w:t>
      </w:r>
      <w:proofErr w:type="spellStart"/>
      <w:r w:rsidRPr="003F7E77">
        <w:rPr>
          <w:rFonts w:ascii="Bookman Old Style" w:hAnsi="Bookman Old Style" w:cs="Times New Roman"/>
          <w:sz w:val="24"/>
          <w:szCs w:val="24"/>
        </w:rPr>
        <w:t>Roosvelt</w:t>
      </w:r>
      <w:proofErr w:type="spellEnd"/>
      <w:r w:rsidRPr="003F7E77">
        <w:rPr>
          <w:rFonts w:ascii="Bookman Old Style" w:hAnsi="Bookman Old Style" w:cs="Times New Roman"/>
          <w:sz w:val="24"/>
          <w:szCs w:val="24"/>
        </w:rPr>
        <w:t xml:space="preserve"> Rodríguez Rengifo, Guillermo García Realpe,</w:t>
      </w:r>
      <w:r>
        <w:rPr>
          <w:rFonts w:ascii="Bookman Old Style" w:hAnsi="Bookman Old Style" w:cs="Times New Roman"/>
          <w:sz w:val="24"/>
          <w:szCs w:val="24"/>
        </w:rPr>
        <w:t xml:space="preserve"> </w:t>
      </w:r>
      <w:r w:rsidRPr="003F7E77">
        <w:rPr>
          <w:rFonts w:ascii="Bookman Old Style" w:hAnsi="Bookman Old Style" w:cs="Times New Roman"/>
          <w:sz w:val="24"/>
          <w:szCs w:val="24"/>
        </w:rPr>
        <w:t xml:space="preserve">Iván </w:t>
      </w:r>
      <w:proofErr w:type="spellStart"/>
      <w:r w:rsidRPr="003F7E77">
        <w:rPr>
          <w:rFonts w:ascii="Bookman Old Style" w:hAnsi="Bookman Old Style" w:cs="Times New Roman"/>
          <w:sz w:val="24"/>
          <w:szCs w:val="24"/>
        </w:rPr>
        <w:t>Leonidas</w:t>
      </w:r>
      <w:proofErr w:type="spellEnd"/>
      <w:r w:rsidRPr="003F7E77">
        <w:rPr>
          <w:rFonts w:ascii="Bookman Old Style" w:hAnsi="Bookman Old Style" w:cs="Times New Roman"/>
          <w:sz w:val="24"/>
          <w:szCs w:val="24"/>
        </w:rPr>
        <w:t xml:space="preserve"> </w:t>
      </w:r>
      <w:proofErr w:type="spellStart"/>
      <w:r w:rsidRPr="003F7E77">
        <w:rPr>
          <w:rFonts w:ascii="Bookman Old Style" w:hAnsi="Bookman Old Style" w:cs="Times New Roman"/>
          <w:sz w:val="24"/>
          <w:szCs w:val="24"/>
        </w:rPr>
        <w:t>Name</w:t>
      </w:r>
      <w:proofErr w:type="spellEnd"/>
      <w:r w:rsidRPr="003F7E77">
        <w:rPr>
          <w:rFonts w:ascii="Bookman Old Style" w:hAnsi="Bookman Old Style" w:cs="Times New Roman"/>
          <w:sz w:val="24"/>
          <w:szCs w:val="24"/>
        </w:rPr>
        <w:t xml:space="preserve"> Vásquez, Angélica </w:t>
      </w:r>
      <w:r>
        <w:rPr>
          <w:rFonts w:ascii="Bookman Old Style" w:hAnsi="Bookman Old Style" w:cs="Times New Roman"/>
          <w:sz w:val="24"/>
          <w:szCs w:val="24"/>
        </w:rPr>
        <w:t>L</w:t>
      </w:r>
      <w:r w:rsidRPr="003F7E77">
        <w:rPr>
          <w:rFonts w:ascii="Bookman Old Style" w:hAnsi="Bookman Old Style" w:cs="Times New Roman"/>
          <w:sz w:val="24"/>
          <w:szCs w:val="24"/>
        </w:rPr>
        <w:t xml:space="preserve">isbeth </w:t>
      </w:r>
      <w:r>
        <w:rPr>
          <w:rFonts w:ascii="Bookman Old Style" w:hAnsi="Bookman Old Style" w:cs="Times New Roman"/>
          <w:sz w:val="24"/>
          <w:szCs w:val="24"/>
        </w:rPr>
        <w:t>L</w:t>
      </w:r>
      <w:r w:rsidRPr="003F7E77">
        <w:rPr>
          <w:rFonts w:ascii="Bookman Old Style" w:hAnsi="Bookman Old Style" w:cs="Times New Roman"/>
          <w:sz w:val="24"/>
          <w:szCs w:val="24"/>
        </w:rPr>
        <w:t xml:space="preserve">ozano </w:t>
      </w:r>
      <w:r>
        <w:rPr>
          <w:rFonts w:ascii="Bookman Old Style" w:hAnsi="Bookman Old Style" w:cs="Times New Roman"/>
          <w:sz w:val="24"/>
          <w:szCs w:val="24"/>
        </w:rPr>
        <w:t>C</w:t>
      </w:r>
      <w:r w:rsidRPr="003F7E77">
        <w:rPr>
          <w:rFonts w:ascii="Bookman Old Style" w:hAnsi="Bookman Old Style" w:cs="Times New Roman"/>
          <w:sz w:val="24"/>
          <w:szCs w:val="24"/>
        </w:rPr>
        <w:t>orrea</w:t>
      </w:r>
      <w:r>
        <w:rPr>
          <w:rFonts w:ascii="Bookman Old Style" w:hAnsi="Bookman Old Style" w:cs="Times New Roman"/>
          <w:sz w:val="24"/>
          <w:szCs w:val="24"/>
        </w:rPr>
        <w:t xml:space="preserve"> y </w:t>
      </w:r>
      <w:r w:rsidRPr="003F7E77">
        <w:rPr>
          <w:rFonts w:ascii="Bookman Old Style" w:hAnsi="Bookman Old Style" w:cs="Times New Roman"/>
          <w:sz w:val="24"/>
          <w:szCs w:val="24"/>
        </w:rPr>
        <w:t>Jorge Eduardo Londoño Ulloa</w:t>
      </w:r>
      <w:r>
        <w:rPr>
          <w:rFonts w:ascii="Bookman Old Style" w:hAnsi="Bookman Old Style" w:cs="Times New Roman"/>
          <w:sz w:val="24"/>
          <w:szCs w:val="24"/>
        </w:rPr>
        <w:t xml:space="preserve">; y los Honorables Representantes a la Cámara: </w:t>
      </w:r>
      <w:r w:rsidRPr="003F7E77">
        <w:rPr>
          <w:rFonts w:ascii="Bookman Old Style" w:hAnsi="Bookman Old Style" w:cs="Times New Roman"/>
          <w:sz w:val="24"/>
          <w:szCs w:val="24"/>
        </w:rPr>
        <w:t xml:space="preserve">Norma Hurtado Sánchez, Juan Carlos Lozada Vargas, Alejandro Alberto Vega Pérez </w:t>
      </w:r>
      <w:r>
        <w:rPr>
          <w:rFonts w:ascii="Bookman Old Style" w:hAnsi="Bookman Old Style" w:cs="Times New Roman"/>
          <w:sz w:val="24"/>
          <w:szCs w:val="24"/>
        </w:rPr>
        <w:t xml:space="preserve">y </w:t>
      </w:r>
      <w:r w:rsidRPr="003F7E77">
        <w:rPr>
          <w:rFonts w:ascii="Bookman Old Style" w:hAnsi="Bookman Old Style" w:cs="Times New Roman"/>
          <w:sz w:val="24"/>
          <w:szCs w:val="24"/>
        </w:rPr>
        <w:t xml:space="preserve">Juanita María </w:t>
      </w:r>
      <w:proofErr w:type="spellStart"/>
      <w:r w:rsidRPr="003F7E77">
        <w:rPr>
          <w:rFonts w:ascii="Bookman Old Style" w:hAnsi="Bookman Old Style" w:cs="Times New Roman"/>
          <w:sz w:val="24"/>
          <w:szCs w:val="24"/>
        </w:rPr>
        <w:t>Goebertus</w:t>
      </w:r>
      <w:proofErr w:type="spellEnd"/>
      <w:r w:rsidRPr="003F7E77">
        <w:rPr>
          <w:rFonts w:ascii="Bookman Old Style" w:hAnsi="Bookman Old Style" w:cs="Times New Roman"/>
          <w:sz w:val="24"/>
          <w:szCs w:val="24"/>
        </w:rPr>
        <w:t xml:space="preserve"> Estrada</w:t>
      </w:r>
      <w:r>
        <w:rPr>
          <w:rFonts w:ascii="Bookman Old Style" w:hAnsi="Bookman Old Style" w:cs="Times New Roman"/>
          <w:sz w:val="24"/>
          <w:szCs w:val="24"/>
        </w:rPr>
        <w:t>.</w:t>
      </w:r>
      <w:r w:rsidRPr="001A7C74">
        <w:rPr>
          <w:rFonts w:ascii="Bookman Old Style" w:hAnsi="Bookman Old Style" w:cs="Times New Roman"/>
          <w:sz w:val="24"/>
          <w:szCs w:val="24"/>
        </w:rPr>
        <w:t xml:space="preserve"> </w:t>
      </w:r>
    </w:p>
    <w:p w14:paraId="75B69B7C" w14:textId="77777777" w:rsidR="003F7E77" w:rsidRPr="001A7C74" w:rsidRDefault="003F7E77" w:rsidP="003F7E77">
      <w:pPr>
        <w:spacing w:after="0" w:line="276" w:lineRule="auto"/>
        <w:jc w:val="both"/>
        <w:rPr>
          <w:rFonts w:ascii="Bookman Old Style" w:hAnsi="Bookman Old Style" w:cs="Times New Roman"/>
          <w:sz w:val="24"/>
          <w:szCs w:val="24"/>
          <w:lang w:val="es-MX"/>
        </w:rPr>
      </w:pPr>
    </w:p>
    <w:p w14:paraId="064B8AB6" w14:textId="77777777" w:rsidR="003F7E77" w:rsidRPr="001A7C74" w:rsidRDefault="003F7E77" w:rsidP="003F7E77">
      <w:pPr>
        <w:spacing w:after="0" w:line="276" w:lineRule="auto"/>
        <w:jc w:val="both"/>
        <w:rPr>
          <w:rFonts w:ascii="Bookman Old Style" w:hAnsi="Bookman Old Style" w:cs="Times New Roman"/>
          <w:sz w:val="24"/>
          <w:szCs w:val="24"/>
          <w:lang w:val="es-MX"/>
        </w:rPr>
      </w:pPr>
    </w:p>
    <w:p w14:paraId="45D2D63E" w14:textId="77777777" w:rsidR="003F7E77" w:rsidRPr="001A7C74" w:rsidRDefault="003F7E77" w:rsidP="003F7E77">
      <w:pPr>
        <w:spacing w:after="0" w:line="276" w:lineRule="auto"/>
        <w:jc w:val="both"/>
        <w:rPr>
          <w:rFonts w:ascii="Bookman Old Style" w:hAnsi="Bookman Old Style" w:cs="Times New Roman"/>
          <w:b/>
          <w:sz w:val="24"/>
          <w:szCs w:val="24"/>
          <w:lang w:val="es-MX"/>
        </w:rPr>
      </w:pPr>
    </w:p>
    <w:p w14:paraId="4471DA0C" w14:textId="77777777" w:rsidR="003F7E77" w:rsidRPr="001A7C74" w:rsidRDefault="003F7E77" w:rsidP="003F7E77">
      <w:pPr>
        <w:pStyle w:val="Prrafodelista"/>
        <w:numPr>
          <w:ilvl w:val="0"/>
          <w:numId w:val="1"/>
        </w:numPr>
        <w:spacing w:after="0" w:line="276" w:lineRule="auto"/>
        <w:jc w:val="both"/>
        <w:rPr>
          <w:rFonts w:ascii="Bookman Old Style" w:hAnsi="Bookman Old Style" w:cs="Times New Roman"/>
          <w:b/>
          <w:sz w:val="24"/>
          <w:szCs w:val="24"/>
          <w:lang w:val="es-MX"/>
        </w:rPr>
      </w:pPr>
      <w:r w:rsidRPr="001A7C74">
        <w:rPr>
          <w:rFonts w:ascii="Bookman Old Style" w:hAnsi="Bookman Old Style" w:cs="Times New Roman"/>
          <w:b/>
          <w:sz w:val="24"/>
          <w:szCs w:val="24"/>
          <w:lang w:val="es-MX"/>
        </w:rPr>
        <w:t>Objeto y contenido del proyecto:</w:t>
      </w:r>
    </w:p>
    <w:p w14:paraId="5EC6C9D0" w14:textId="77777777" w:rsidR="003F7E77" w:rsidRPr="001A7C74" w:rsidRDefault="003F7E77" w:rsidP="003F7E77">
      <w:pPr>
        <w:spacing w:after="0" w:line="276" w:lineRule="auto"/>
        <w:jc w:val="both"/>
        <w:rPr>
          <w:rFonts w:ascii="Bookman Old Style" w:hAnsi="Bookman Old Style" w:cs="Times New Roman"/>
          <w:sz w:val="24"/>
          <w:szCs w:val="24"/>
          <w:lang w:val="es-MX"/>
        </w:rPr>
      </w:pPr>
    </w:p>
    <w:p w14:paraId="0B390709" w14:textId="0E4D6945"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 xml:space="preserve">El Proyecto de Acto Legislativo </w:t>
      </w:r>
      <w:r w:rsidR="00F8344D">
        <w:rPr>
          <w:rFonts w:ascii="Bookman Old Style" w:eastAsia="Times New Roman" w:hAnsi="Bookman Old Style" w:cs="Times New Roman"/>
          <w:sz w:val="24"/>
          <w:szCs w:val="24"/>
        </w:rPr>
        <w:t>444</w:t>
      </w:r>
      <w:r w:rsidRPr="001A7C74">
        <w:rPr>
          <w:rFonts w:ascii="Bookman Old Style" w:eastAsia="Times New Roman" w:hAnsi="Bookman Old Style" w:cs="Times New Roman"/>
          <w:sz w:val="24"/>
          <w:szCs w:val="24"/>
        </w:rPr>
        <w:t xml:space="preserve"> de 20</w:t>
      </w:r>
      <w:r w:rsidR="00F8344D">
        <w:rPr>
          <w:rFonts w:ascii="Bookman Old Style" w:eastAsia="Times New Roman" w:hAnsi="Bookman Old Style" w:cs="Times New Roman"/>
          <w:sz w:val="24"/>
          <w:szCs w:val="24"/>
        </w:rPr>
        <w:t>22</w:t>
      </w:r>
      <w:r w:rsidRPr="001A7C74">
        <w:rPr>
          <w:rFonts w:ascii="Bookman Old Style" w:eastAsia="Times New Roman" w:hAnsi="Bookman Old Style" w:cs="Times New Roman"/>
          <w:sz w:val="24"/>
          <w:szCs w:val="24"/>
        </w:rPr>
        <w:t xml:space="preserve"> Cámara tiene por objeto establecer la obligación del Estado de dirigir sus políticas hacia el aseguramiento del derecho a la alimentación, a estar protegido contra el hambre y la desnutrición, a la soberanía alimentaria y a la seguridad alimentaria de su población, ambos conceptos intrínsecamente ligados al derecho a la alimentación. Así mismo, plantea la obligación de que el Estado defina una estrategia a través de la cual se acompañe a las cadenas de producción y distribución nacional de alimentos, en aras de cerrar las brechas que inciden en su eficiencia, y que al tiempo aborde el fenómeno de la pérdida de estos.</w:t>
      </w:r>
    </w:p>
    <w:p w14:paraId="25CF88E9"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p>
    <w:p w14:paraId="25C425AB"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Al respecto, es necesario mencionar que dicha prerrogativa, así como los conceptos de soberanía alimentaria y seguridad alimentaria, se encuentra consagrada en sendos instrumentos internacionales ratificados por el Estado colombiano</w:t>
      </w:r>
      <w:r w:rsidRPr="001A7C74">
        <w:rPr>
          <w:rFonts w:ascii="Bookman Old Style" w:eastAsia="Times New Roman" w:hAnsi="Bookman Old Style" w:cs="Times New Roman"/>
          <w:sz w:val="24"/>
          <w:szCs w:val="24"/>
          <w:vertAlign w:val="superscript"/>
        </w:rPr>
        <w:footnoteReference w:id="1"/>
      </w:r>
      <w:r w:rsidRPr="001A7C74">
        <w:rPr>
          <w:rFonts w:ascii="Bookman Old Style" w:eastAsia="Times New Roman" w:hAnsi="Bookman Old Style" w:cs="Times New Roman"/>
          <w:sz w:val="24"/>
          <w:szCs w:val="24"/>
        </w:rPr>
        <w:t xml:space="preserve"> y, adicionalmente, se pretende dar cumplimiento a </w:t>
      </w:r>
      <w:r w:rsidRPr="001A7C74">
        <w:rPr>
          <w:rFonts w:ascii="Bookman Old Style" w:eastAsia="Times New Roman" w:hAnsi="Bookman Old Style" w:cs="Times New Roman"/>
          <w:sz w:val="24"/>
          <w:szCs w:val="24"/>
        </w:rPr>
        <w:lastRenderedPageBreak/>
        <w:t>obligaciones internacionales que el Estado colombiano ha adquirido y que se encuentran en completa consonancia con lo consagrado en el ordenamiento interno en virtud de lo establecido en diversas disposiciones constitucionales y en particular con lo dispuesto en el artículo 93 de la Constitución Política de 1991.</w:t>
      </w:r>
    </w:p>
    <w:p w14:paraId="70E5CE7C"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p>
    <w:p w14:paraId="3B2F622F" w14:textId="0FF6E4B9" w:rsidR="003F7E77" w:rsidRPr="001A7C74" w:rsidRDefault="00F8344D" w:rsidP="003F7E77">
      <w:pPr>
        <w:pStyle w:val="Prrafodelista"/>
        <w:numPr>
          <w:ilvl w:val="0"/>
          <w:numId w:val="1"/>
        </w:numPr>
        <w:spacing w:after="0" w:line="276" w:lineRule="auto"/>
        <w:jc w:val="both"/>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Exposición de motivos</w:t>
      </w:r>
    </w:p>
    <w:p w14:paraId="23D677B9"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p>
    <w:p w14:paraId="434F10BE" w14:textId="665BC25A" w:rsidR="00270359" w:rsidRDefault="00270359" w:rsidP="003F7E77">
      <w:pPr>
        <w:spacing w:after="0" w:line="276"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E</w:t>
      </w:r>
      <w:r w:rsidRPr="00270359">
        <w:rPr>
          <w:rFonts w:ascii="Bookman Old Style" w:eastAsia="Times New Roman" w:hAnsi="Bookman Old Style" w:cs="Times New Roman"/>
          <w:sz w:val="24"/>
          <w:szCs w:val="24"/>
        </w:rPr>
        <w:t>sta es la cuarta oportunidad en la cual se presenta un proyecto de acto legislativo tendiente a establecer de manera expresa en el ordenamiento jurídico nacional el derecho que le asiste a cada ser humano a estar protegido contra el hambre y la desnutrición. Sin embargo, hoy más que antes, dados los desafíos que plantea la actual coyuntura derivada de la Emergencia Económica, Social y Ecológica producto de la pandemia del COVID-19, la presente iniciativa cobra una especial relevancia, toda vez que se hace necesario contar con disposiciones jurídicas que permitan al Gobierno Nacional reconocer la importancia debida a la garantía de la Seguridad Alimentaria para la población, al tiempo que a través de la consagración constitucional de esta prerrogativa fundamental se otorgan herramientas que le permiten a la ciudadanía ser veedora y exigir el cumplimiento progresivo de la garantía de uno de los derechos más básicos y esenciales: el poder alimentarse dignamente.</w:t>
      </w:r>
    </w:p>
    <w:p w14:paraId="11A23313" w14:textId="77777777" w:rsidR="00270359" w:rsidRDefault="00270359" w:rsidP="003F7E77">
      <w:pPr>
        <w:spacing w:after="0" w:line="276" w:lineRule="auto"/>
        <w:jc w:val="both"/>
        <w:rPr>
          <w:rFonts w:ascii="Bookman Old Style" w:eastAsia="Times New Roman" w:hAnsi="Bookman Old Style" w:cs="Times New Roman"/>
          <w:sz w:val="24"/>
          <w:szCs w:val="24"/>
        </w:rPr>
      </w:pPr>
    </w:p>
    <w:p w14:paraId="75BBB518" w14:textId="2DEEF58E"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De acuerdo con el más reciente informe del estado de la seguridad alimentaria y la nutrición en el mundo (2021)</w:t>
      </w:r>
      <w:r w:rsidRPr="001A7C74">
        <w:rPr>
          <w:rStyle w:val="Refdenotaalpie"/>
          <w:rFonts w:ascii="Bookman Old Style" w:eastAsia="Times New Roman" w:hAnsi="Bookman Old Style" w:cs="Times New Roman"/>
          <w:sz w:val="24"/>
          <w:szCs w:val="24"/>
        </w:rPr>
        <w:footnoteReference w:id="2"/>
      </w:r>
      <w:r w:rsidRPr="001A7C74">
        <w:rPr>
          <w:rFonts w:ascii="Bookman Old Style" w:eastAsia="Times New Roman" w:hAnsi="Bookman Old Style" w:cs="Times New Roman"/>
          <w:sz w:val="24"/>
          <w:szCs w:val="24"/>
        </w:rPr>
        <w:t xml:space="preserve"> realizado por FAO, IFAD, Unicef, el Programa Mundial de Alimentos y la Organización Mundial de la Salud, el 9.9% de la población global se encuentra en condiciones de prevalencia de subalimentación, las cuales se incrementaron en 1,5 puntos porcentuales entre el periodo 2019 y 2020. Estas cifras, de acuerdo con lo </w:t>
      </w:r>
      <w:r w:rsidRPr="001A7C74">
        <w:rPr>
          <w:rFonts w:ascii="Bookman Old Style" w:eastAsia="Times New Roman" w:hAnsi="Bookman Old Style" w:cs="Times New Roman"/>
          <w:sz w:val="24"/>
          <w:szCs w:val="24"/>
        </w:rPr>
        <w:lastRenderedPageBreak/>
        <w:t>señalado en el informe, dificultan el cumplimiento del ODS 2: Hambre cero a 2030 y, en general, de ninguna de las metas e indicadores en materia de nutrición para dicho año.</w:t>
      </w:r>
    </w:p>
    <w:p w14:paraId="3D1F3F19"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p>
    <w:p w14:paraId="72C472C7"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Ahora bien, en lo que respecta a la prevalencia mundial de la inseguridad alimentaria moderada o grave, es necesario señalar que el informe indica que ésta ha venido mostrando una tendencia creciente desde el año 2014, pero que el aumento estimado tan solo en el 2020 equivale a la suma de los cinco años inmediatamente anteriores. Así las cosas, se concluye que en 2020 alrededor de una de cada tres personas en el mundo (2.730 millones) careció del acceso a alimentos adecuados, mayoritariamente pertenecientes a las regiones de África, Asia y América Latina y el Caribe.</w:t>
      </w:r>
    </w:p>
    <w:p w14:paraId="75742E2E"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p>
    <w:p w14:paraId="051C9E84" w14:textId="554F8D33" w:rsidR="003F7E77"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En Colombia carecemos de mediciones periódicas recurrentes que permitan evaluar constantemente el desempeño del país en prevención de la inseguridad alimentaria</w:t>
      </w:r>
      <w:r w:rsidRPr="001A7C74">
        <w:rPr>
          <w:rStyle w:val="Refdenotaalpie"/>
          <w:rFonts w:ascii="Bookman Old Style" w:eastAsia="Times New Roman" w:hAnsi="Bookman Old Style" w:cs="Times New Roman"/>
          <w:sz w:val="24"/>
          <w:szCs w:val="24"/>
        </w:rPr>
        <w:footnoteReference w:id="3"/>
      </w:r>
      <w:r w:rsidRPr="001A7C74">
        <w:rPr>
          <w:rFonts w:ascii="Bookman Old Style" w:eastAsia="Times New Roman" w:hAnsi="Bookman Old Style" w:cs="Times New Roman"/>
          <w:sz w:val="24"/>
          <w:szCs w:val="24"/>
        </w:rPr>
        <w:t>, recientemente el DANE ha empezado a inquirir en la Encuesta Pulso Social sobre el acceso que tienen los hogares seleccionados para el ejercicio estadístico sobre el acceso a las tres comidas diarias antes del inicio de las medidas de contención de la pandemia en marzo de 2020, y durante el trimestre estudiado. De acuerdo con la encuesta elaborada para el periodo julio-septiembre de 2021, se concluyó que previo al inicio de la pandemia, el 91,3% de los hogares encuestados se encontraban en capacidad de acceder a ellas; mientras que, durante el trimestre solo el 70% pudieron tener los alimentos suficientes para contar con una alimentación adecuada, situación que es mucho más crítica en ciudades como Cartagena, Barranquilla, Sincelejo y Valledupar, en donde se evidencia una mayor inseguridad alimentaria en el país. Para el caso de Cartagena y Barranquilla, solo 3 de cada 10 hogares encuestados reportan poder acceder a las tres comidas al día; mientras que en Sincelejo y Valledupar no alcanzan a ser 5 de cada 10 hogares los que cuentan con alimentos suficientes para garantizar la seguridad alimentaria.</w:t>
      </w:r>
    </w:p>
    <w:p w14:paraId="67E8B770" w14:textId="65D242B0" w:rsidR="00876A8C" w:rsidRDefault="00876A8C" w:rsidP="003F7E77">
      <w:pPr>
        <w:spacing w:after="0" w:line="276" w:lineRule="auto"/>
        <w:jc w:val="both"/>
        <w:rPr>
          <w:rFonts w:ascii="Bookman Old Style" w:eastAsia="Times New Roman" w:hAnsi="Bookman Old Style" w:cs="Times New Roman"/>
          <w:sz w:val="24"/>
          <w:szCs w:val="24"/>
        </w:rPr>
      </w:pPr>
    </w:p>
    <w:p w14:paraId="1E1C3EA8" w14:textId="77777777" w:rsidR="001F7126" w:rsidRDefault="00876A8C" w:rsidP="003F7E77">
      <w:pPr>
        <w:spacing w:after="0" w:line="276" w:lineRule="auto"/>
        <w:jc w:val="both"/>
        <w:rPr>
          <w:rFonts w:ascii="Bookman Old Style" w:eastAsia="Times New Roman" w:hAnsi="Bookman Old Style" w:cs="Times New Roman"/>
          <w:b/>
          <w:bCs/>
          <w:sz w:val="24"/>
          <w:szCs w:val="24"/>
        </w:rPr>
      </w:pPr>
      <w:r w:rsidRPr="00876A8C">
        <w:rPr>
          <w:rFonts w:ascii="Bookman Old Style" w:eastAsia="Times New Roman" w:hAnsi="Bookman Old Style" w:cs="Times New Roman"/>
          <w:b/>
          <w:bCs/>
          <w:sz w:val="24"/>
          <w:szCs w:val="24"/>
        </w:rPr>
        <w:t>Situación Actual</w:t>
      </w:r>
    </w:p>
    <w:p w14:paraId="4E555592" w14:textId="320EF359" w:rsidR="00876A8C" w:rsidRDefault="001F7126" w:rsidP="003F7E77">
      <w:pPr>
        <w:spacing w:after="0" w:line="276" w:lineRule="auto"/>
        <w:jc w:val="both"/>
        <w:rPr>
          <w:rFonts w:ascii="Bookman Old Style" w:eastAsia="Times New Roman" w:hAnsi="Bookman Old Style" w:cs="Times New Roman"/>
          <w:sz w:val="24"/>
          <w:szCs w:val="24"/>
        </w:rPr>
      </w:pPr>
      <w:r w:rsidRPr="001F7126">
        <w:rPr>
          <w:rFonts w:ascii="Bookman Old Style" w:eastAsia="Times New Roman" w:hAnsi="Bookman Old Style" w:cs="Times New Roman"/>
          <w:sz w:val="24"/>
          <w:szCs w:val="24"/>
        </w:rPr>
        <w:lastRenderedPageBreak/>
        <w:t>De acuerdo con la Encuesta Pulso Social (EPS) de Enero de 2022, presenta en su componente de situación económica comparada con la de hace 12 meses, indagada en 23 ciudades refleja que el agregado de las categorías de "peor" y "mucho peor" del 48%, en contraste con solo el 35,5% de las categorías de "mejor" y "mucho mejor".</w:t>
      </w:r>
      <w:r w:rsidR="00876A8C" w:rsidRPr="001F7126">
        <w:rPr>
          <w:rFonts w:ascii="Bookman Old Style" w:eastAsia="Times New Roman" w:hAnsi="Bookman Old Style" w:cs="Times New Roman"/>
          <w:sz w:val="24"/>
          <w:szCs w:val="24"/>
        </w:rPr>
        <w:t xml:space="preserve"> </w:t>
      </w:r>
    </w:p>
    <w:p w14:paraId="2C1A4823" w14:textId="4428676A" w:rsidR="001F7126" w:rsidRPr="001F7126" w:rsidRDefault="001F7126" w:rsidP="001F7126">
      <w:pPr>
        <w:spacing w:after="0" w:line="276" w:lineRule="auto"/>
        <w:jc w:val="both"/>
        <w:rPr>
          <w:rFonts w:ascii="Bookman Old Style" w:eastAsia="Times New Roman" w:hAnsi="Bookman Old Style" w:cs="Times New Roman"/>
          <w:sz w:val="24"/>
          <w:szCs w:val="24"/>
        </w:rPr>
      </w:pPr>
      <w:r w:rsidRPr="001F7126">
        <w:rPr>
          <w:rFonts w:ascii="Bookman Old Style" w:eastAsia="Times New Roman" w:hAnsi="Bookman Old Style" w:cs="Times New Roman"/>
          <w:sz w:val="24"/>
          <w:szCs w:val="24"/>
        </w:rPr>
        <w:t>Y si el panorama general resulta preocupante, el deterioro en las condiciones de seguridad alimentaria (que se explica como la capacidad de acceder a alimentos suficientes y adecuados para garantizar la ingesta calórica y nutricional requerida para mantener una vida sana y desarrollar actividades básicas) es francamente alarmante de acuerdo con las estimaciones, realizadas por el DANE en la misma encuesta de Pulso Social.</w:t>
      </w:r>
    </w:p>
    <w:p w14:paraId="074E2090" w14:textId="77777777" w:rsidR="001F7126" w:rsidRPr="001F7126" w:rsidRDefault="001F7126" w:rsidP="001F7126">
      <w:pPr>
        <w:spacing w:after="0" w:line="276" w:lineRule="auto"/>
        <w:jc w:val="both"/>
        <w:rPr>
          <w:rFonts w:ascii="Bookman Old Style" w:eastAsia="Times New Roman" w:hAnsi="Bookman Old Style" w:cs="Times New Roman"/>
          <w:sz w:val="24"/>
          <w:szCs w:val="24"/>
        </w:rPr>
      </w:pPr>
    </w:p>
    <w:p w14:paraId="029A5C0D" w14:textId="5B43F07B" w:rsidR="001F7126" w:rsidRPr="001F7126" w:rsidRDefault="001F7126" w:rsidP="001F7126">
      <w:pPr>
        <w:spacing w:after="0" w:line="276" w:lineRule="auto"/>
        <w:jc w:val="both"/>
        <w:rPr>
          <w:rFonts w:ascii="Bookman Old Style" w:eastAsia="Times New Roman" w:hAnsi="Bookman Old Style" w:cs="Times New Roman"/>
          <w:sz w:val="24"/>
          <w:szCs w:val="24"/>
        </w:rPr>
      </w:pPr>
      <w:r w:rsidRPr="001F7126">
        <w:rPr>
          <w:rFonts w:ascii="Bookman Old Style" w:eastAsia="Times New Roman" w:hAnsi="Bookman Old Style" w:cs="Times New Roman"/>
          <w:sz w:val="24"/>
          <w:szCs w:val="24"/>
        </w:rPr>
        <w:t>En materia de "Seguridad Alimentaria", el DANE encuentra que antes de la pandemia el 89,9% de los hogares encuestados en las 23 ciudades definidas tenían la posibilidad de consumir tres (3) comidas al día o más; a enero del presente año esta cifra se encuentra ubicada en el 72,4%, lo cual implica una diferencia de 17,5% de los hogares.</w:t>
      </w:r>
    </w:p>
    <w:p w14:paraId="5D00D765" w14:textId="5D143428" w:rsidR="000B6168" w:rsidRDefault="000B6168" w:rsidP="003F7E77">
      <w:pPr>
        <w:spacing w:after="0" w:line="276" w:lineRule="auto"/>
        <w:jc w:val="both"/>
        <w:rPr>
          <w:rFonts w:ascii="Bookman Old Style" w:eastAsia="Times New Roman" w:hAnsi="Bookman Old Style" w:cs="Times New Roman"/>
          <w:sz w:val="24"/>
          <w:szCs w:val="24"/>
        </w:rPr>
      </w:pPr>
    </w:p>
    <w:p w14:paraId="6B21DCE3" w14:textId="2AE61EBA" w:rsidR="001F7126" w:rsidRPr="001F7126" w:rsidRDefault="001F7126" w:rsidP="003F7E77">
      <w:pPr>
        <w:spacing w:after="0" w:line="276" w:lineRule="auto"/>
        <w:jc w:val="both"/>
        <w:rPr>
          <w:rFonts w:ascii="Bookman Old Style" w:eastAsia="Times New Roman" w:hAnsi="Bookman Old Style" w:cs="Times New Roman"/>
          <w:b/>
          <w:bCs/>
          <w:sz w:val="24"/>
          <w:szCs w:val="24"/>
        </w:rPr>
      </w:pPr>
      <w:r w:rsidRPr="001F7126">
        <w:rPr>
          <w:rFonts w:ascii="Bookman Old Style" w:eastAsia="Times New Roman" w:hAnsi="Bookman Old Style" w:cs="Times New Roman"/>
          <w:b/>
          <w:bCs/>
          <w:sz w:val="24"/>
          <w:szCs w:val="24"/>
        </w:rPr>
        <w:t>Respecto a la ubicación geográfica</w:t>
      </w:r>
    </w:p>
    <w:p w14:paraId="2C5368D5" w14:textId="0CEF2F1C" w:rsidR="000B6168" w:rsidRDefault="001F7126" w:rsidP="003F7E77">
      <w:pPr>
        <w:spacing w:after="0" w:line="276" w:lineRule="auto"/>
        <w:jc w:val="both"/>
        <w:rPr>
          <w:rFonts w:ascii="Bookman Old Style" w:eastAsia="Times New Roman" w:hAnsi="Bookman Old Style" w:cs="Times New Roman"/>
          <w:sz w:val="24"/>
          <w:szCs w:val="24"/>
        </w:rPr>
      </w:pPr>
      <w:r w:rsidRPr="001F7126">
        <w:rPr>
          <w:rFonts w:ascii="Bookman Old Style" w:eastAsia="Times New Roman" w:hAnsi="Bookman Old Style" w:cs="Times New Roman"/>
          <w:sz w:val="24"/>
          <w:szCs w:val="24"/>
        </w:rPr>
        <w:t xml:space="preserve">Por ciudades, vale la pena anotar las cinco (5) peores ciudades de las 23 objeto de análisis por parte del DANE que se encuentran por debajo de la media nacional, en cuanto a proporción de la población que tiene oportunidad de consumir tres (3) comidas al día o </w:t>
      </w:r>
      <w:proofErr w:type="spellStart"/>
      <w:r w:rsidRPr="001F7126">
        <w:rPr>
          <w:rFonts w:ascii="Bookman Old Style" w:eastAsia="Times New Roman" w:hAnsi="Bookman Old Style" w:cs="Times New Roman"/>
          <w:sz w:val="24"/>
          <w:szCs w:val="24"/>
        </w:rPr>
        <w:t>mas</w:t>
      </w:r>
      <w:proofErr w:type="spellEnd"/>
      <w:r w:rsidRPr="001F7126">
        <w:rPr>
          <w:rFonts w:ascii="Bookman Old Style" w:eastAsia="Times New Roman" w:hAnsi="Bookman Old Style" w:cs="Times New Roman"/>
          <w:sz w:val="24"/>
          <w:szCs w:val="24"/>
        </w:rPr>
        <w:t xml:space="preserve"> antes y después de la pandemia, </w:t>
      </w:r>
      <w:proofErr w:type="spellStart"/>
      <w:r w:rsidRPr="001F7126">
        <w:rPr>
          <w:rFonts w:ascii="Bookman Old Style" w:eastAsia="Times New Roman" w:hAnsi="Bookman Old Style" w:cs="Times New Roman"/>
          <w:sz w:val="24"/>
          <w:szCs w:val="24"/>
        </w:rPr>
        <w:t>asi</w:t>
      </w:r>
      <w:proofErr w:type="spellEnd"/>
      <w:r w:rsidRPr="001F7126">
        <w:rPr>
          <w:rFonts w:ascii="Bookman Old Style" w:eastAsia="Times New Roman" w:hAnsi="Bookman Old Style" w:cs="Times New Roman"/>
          <w:sz w:val="24"/>
          <w:szCs w:val="24"/>
        </w:rPr>
        <w:t>: (1) Barranquilla (que pasó de un 79,6% a un 36,6, % ); 2) Cartagena (que pasó de un 58,3% a un 39,6%) ; (3) Sincelejo (que pasó de un 78,9% a un 45,5%); (4) Pasto (que pasó de un 84,6% a un 59,6%) ; (5) Florencia (que pasó de un 83.1% a un 60,3%).</w:t>
      </w:r>
    </w:p>
    <w:p w14:paraId="4EEF0024" w14:textId="41E53D0B" w:rsidR="001F7126" w:rsidRDefault="001F7126" w:rsidP="003F7E77">
      <w:pPr>
        <w:spacing w:after="0" w:line="276" w:lineRule="auto"/>
        <w:jc w:val="both"/>
        <w:rPr>
          <w:rFonts w:ascii="Bookman Old Style" w:eastAsia="Times New Roman" w:hAnsi="Bookman Old Style" w:cs="Times New Roman"/>
          <w:sz w:val="24"/>
          <w:szCs w:val="24"/>
        </w:rPr>
      </w:pPr>
    </w:p>
    <w:p w14:paraId="1263B247" w14:textId="793133F5" w:rsidR="001F7126" w:rsidRPr="001F7126" w:rsidRDefault="001F7126" w:rsidP="003F7E77">
      <w:pPr>
        <w:spacing w:after="0" w:line="276" w:lineRule="auto"/>
        <w:jc w:val="both"/>
        <w:rPr>
          <w:rFonts w:ascii="Bookman Old Style" w:eastAsia="Times New Roman" w:hAnsi="Bookman Old Style" w:cs="Times New Roman"/>
          <w:b/>
          <w:bCs/>
          <w:sz w:val="24"/>
          <w:szCs w:val="24"/>
        </w:rPr>
      </w:pPr>
      <w:r w:rsidRPr="001F7126">
        <w:rPr>
          <w:rFonts w:ascii="Bookman Old Style" w:eastAsia="Times New Roman" w:hAnsi="Bookman Old Style" w:cs="Times New Roman"/>
          <w:b/>
          <w:bCs/>
          <w:sz w:val="24"/>
          <w:szCs w:val="24"/>
        </w:rPr>
        <w:t xml:space="preserve">Situación antes de la Pandemia </w:t>
      </w:r>
    </w:p>
    <w:p w14:paraId="6FA332F7" w14:textId="62E71C66" w:rsidR="001F7126" w:rsidRDefault="001F7126" w:rsidP="003F7E77">
      <w:pPr>
        <w:spacing w:after="0" w:line="276" w:lineRule="auto"/>
        <w:jc w:val="both"/>
        <w:rPr>
          <w:rFonts w:ascii="Bookman Old Style" w:eastAsia="Times New Roman" w:hAnsi="Bookman Old Style" w:cs="Times New Roman"/>
          <w:sz w:val="24"/>
          <w:szCs w:val="24"/>
        </w:rPr>
      </w:pPr>
    </w:p>
    <w:p w14:paraId="0DB639BB" w14:textId="324F71B0" w:rsidR="001F7126" w:rsidRPr="001F7126" w:rsidRDefault="001F7126" w:rsidP="001F7126">
      <w:pPr>
        <w:spacing w:after="0" w:line="276" w:lineRule="auto"/>
        <w:jc w:val="both"/>
        <w:rPr>
          <w:rFonts w:ascii="Bookman Old Style" w:eastAsia="Times New Roman" w:hAnsi="Bookman Old Style" w:cs="Times New Roman"/>
          <w:sz w:val="24"/>
          <w:szCs w:val="24"/>
        </w:rPr>
      </w:pPr>
      <w:r w:rsidRPr="001F7126">
        <w:rPr>
          <w:rFonts w:ascii="Bookman Old Style" w:eastAsia="Times New Roman" w:hAnsi="Bookman Old Style" w:cs="Times New Roman"/>
          <w:sz w:val="24"/>
          <w:szCs w:val="24"/>
        </w:rPr>
        <w:t>El panorama anteriormente esbozado se ha agravado. Sin embargo, no pueden dejarse de lado las cifras que nos brind</w:t>
      </w:r>
      <w:r>
        <w:rPr>
          <w:rFonts w:ascii="Bookman Old Style" w:eastAsia="Times New Roman" w:hAnsi="Bookman Old Style" w:cs="Times New Roman"/>
          <w:sz w:val="24"/>
          <w:szCs w:val="24"/>
        </w:rPr>
        <w:t>ó</w:t>
      </w:r>
      <w:r w:rsidRPr="001F7126">
        <w:rPr>
          <w:rFonts w:ascii="Bookman Old Style" w:eastAsia="Times New Roman" w:hAnsi="Bookman Old Style" w:cs="Times New Roman"/>
          <w:sz w:val="24"/>
          <w:szCs w:val="24"/>
        </w:rPr>
        <w:t xml:space="preserve"> la más reciente Encuesta de Situación Nutricional (ENSIN 2015), previa a la pandemia, cuyos resultados</w:t>
      </w:r>
      <w:r>
        <w:rPr>
          <w:rFonts w:ascii="Bookman Old Style" w:eastAsia="Times New Roman" w:hAnsi="Bookman Old Style" w:cs="Times New Roman"/>
          <w:sz w:val="24"/>
          <w:szCs w:val="24"/>
        </w:rPr>
        <w:t xml:space="preserve"> ya</w:t>
      </w:r>
      <w:r w:rsidRPr="001F7126">
        <w:rPr>
          <w:rFonts w:ascii="Bookman Old Style" w:eastAsia="Times New Roman" w:hAnsi="Bookman Old Style" w:cs="Times New Roman"/>
          <w:sz w:val="24"/>
          <w:szCs w:val="24"/>
        </w:rPr>
        <w:t xml:space="preserve"> eran francamente preocupantes: En Colombia, previo a la pandemia, el 54,2% de los hogares se encuentran en situación de inseguridad alimentaria (ISAH) (39,1% en inseguridad alimentaria leve, 13,8% moderada y 8,5% severa).</w:t>
      </w:r>
    </w:p>
    <w:p w14:paraId="22D16306" w14:textId="77777777" w:rsidR="001F7126" w:rsidRPr="001F7126" w:rsidRDefault="001F7126" w:rsidP="001F7126">
      <w:pPr>
        <w:spacing w:after="0" w:line="276" w:lineRule="auto"/>
        <w:jc w:val="both"/>
        <w:rPr>
          <w:rFonts w:ascii="Bookman Old Style" w:eastAsia="Times New Roman" w:hAnsi="Bookman Old Style" w:cs="Times New Roman"/>
          <w:sz w:val="24"/>
          <w:szCs w:val="24"/>
        </w:rPr>
      </w:pPr>
    </w:p>
    <w:p w14:paraId="7D5E2DA9" w14:textId="1155660B" w:rsidR="001F7126" w:rsidRPr="001F7126" w:rsidRDefault="001F7126" w:rsidP="001F7126">
      <w:pPr>
        <w:spacing w:after="0" w:line="276" w:lineRule="auto"/>
        <w:jc w:val="both"/>
        <w:rPr>
          <w:rFonts w:ascii="Bookman Old Style" w:eastAsia="Times New Roman" w:hAnsi="Bookman Old Style" w:cs="Times New Roman"/>
          <w:sz w:val="24"/>
          <w:szCs w:val="24"/>
        </w:rPr>
      </w:pPr>
      <w:r w:rsidRPr="001F7126">
        <w:rPr>
          <w:rFonts w:ascii="Bookman Old Style" w:eastAsia="Times New Roman" w:hAnsi="Bookman Old Style" w:cs="Times New Roman"/>
          <w:sz w:val="24"/>
          <w:szCs w:val="24"/>
        </w:rPr>
        <w:t xml:space="preserve">Esta información se puede desagregar en diferentes variables, a saber: </w:t>
      </w:r>
      <w:r w:rsidRPr="001F7126">
        <w:rPr>
          <w:rFonts w:ascii="Bookman Old Style" w:eastAsia="Times New Roman" w:hAnsi="Bookman Old Style" w:cs="Times New Roman"/>
          <w:b/>
          <w:bCs/>
          <w:sz w:val="24"/>
          <w:szCs w:val="24"/>
        </w:rPr>
        <w:t>(1) Género</w:t>
      </w:r>
      <w:r w:rsidRPr="001F7126">
        <w:rPr>
          <w:rFonts w:ascii="Bookman Old Style" w:eastAsia="Times New Roman" w:hAnsi="Bookman Old Style" w:cs="Times New Roman"/>
          <w:sz w:val="24"/>
          <w:szCs w:val="24"/>
        </w:rPr>
        <w:t xml:space="preserve">: de los hogares que se encuentran en esta situación, se tiene que el 57% tienen una jefatura femenina y un 52% tienen a un hombre en cabeza del hogar; </w:t>
      </w:r>
      <w:r w:rsidRPr="001F7126">
        <w:rPr>
          <w:rFonts w:ascii="Bookman Old Style" w:eastAsia="Times New Roman" w:hAnsi="Bookman Old Style" w:cs="Times New Roman"/>
          <w:b/>
          <w:bCs/>
          <w:sz w:val="24"/>
          <w:szCs w:val="24"/>
        </w:rPr>
        <w:t>(2) Pertenencia étnica</w:t>
      </w:r>
      <w:r w:rsidRPr="001F7126">
        <w:rPr>
          <w:rFonts w:ascii="Bookman Old Style" w:eastAsia="Times New Roman" w:hAnsi="Bookman Old Style" w:cs="Times New Roman"/>
          <w:sz w:val="24"/>
          <w:szCs w:val="24"/>
        </w:rPr>
        <w:t>: 77% de los hogares indígenas se encuentran en inseguridad alimentaria. Esta condición se replica para el 68.9% de los hogares afrodescendientes y para el reseñado 54.2% de los hogares que se</w:t>
      </w:r>
      <w:r w:rsidRPr="001F7126">
        <w:t xml:space="preserve"> </w:t>
      </w:r>
      <w:r w:rsidRPr="001F7126">
        <w:rPr>
          <w:rFonts w:ascii="Bookman Old Style" w:eastAsia="Times New Roman" w:hAnsi="Bookman Old Style" w:cs="Times New Roman"/>
          <w:sz w:val="24"/>
          <w:szCs w:val="24"/>
        </w:rPr>
        <w:t xml:space="preserve">consideran sin pertenencia étnica; </w:t>
      </w:r>
      <w:r w:rsidRPr="001F7126">
        <w:rPr>
          <w:rFonts w:ascii="Bookman Old Style" w:eastAsia="Times New Roman" w:hAnsi="Bookman Old Style" w:cs="Times New Roman"/>
          <w:b/>
          <w:bCs/>
          <w:sz w:val="24"/>
          <w:szCs w:val="24"/>
        </w:rPr>
        <w:t>(3) Regiones</w:t>
      </w:r>
      <w:r w:rsidRPr="001F7126">
        <w:rPr>
          <w:rFonts w:ascii="Bookman Old Style" w:eastAsia="Times New Roman" w:hAnsi="Bookman Old Style" w:cs="Times New Roman"/>
          <w:sz w:val="24"/>
          <w:szCs w:val="24"/>
        </w:rPr>
        <w:t xml:space="preserve">: La inseguridad alimentaria de los hogares en las regiones se reporta de la siguiente forma: 65% del total de los hogares de la región atlántica; 64% de la región de la Orinoquia y la Amazonia; 57.4% de la Pacífica; 52% de la Oriental; 50,2% en Bogotá y 49.3 % en la Central; </w:t>
      </w:r>
      <w:r w:rsidRPr="001F7126">
        <w:rPr>
          <w:rFonts w:ascii="Bookman Old Style" w:eastAsia="Times New Roman" w:hAnsi="Bookman Old Style" w:cs="Times New Roman"/>
          <w:b/>
          <w:bCs/>
          <w:sz w:val="24"/>
          <w:szCs w:val="24"/>
        </w:rPr>
        <w:t xml:space="preserve">(4) </w:t>
      </w:r>
      <w:r>
        <w:rPr>
          <w:rFonts w:ascii="Bookman Old Style" w:eastAsia="Times New Roman" w:hAnsi="Bookman Old Style" w:cs="Times New Roman"/>
          <w:b/>
          <w:bCs/>
          <w:sz w:val="24"/>
          <w:szCs w:val="24"/>
        </w:rPr>
        <w:t>Í</w:t>
      </w:r>
      <w:r w:rsidRPr="001F7126">
        <w:rPr>
          <w:rFonts w:ascii="Bookman Old Style" w:eastAsia="Times New Roman" w:hAnsi="Bookman Old Style" w:cs="Times New Roman"/>
          <w:b/>
          <w:bCs/>
          <w:sz w:val="24"/>
          <w:szCs w:val="24"/>
        </w:rPr>
        <w:t>ndice de riqueza</w:t>
      </w:r>
      <w:r w:rsidRPr="001F7126">
        <w:rPr>
          <w:rFonts w:ascii="Bookman Old Style" w:eastAsia="Times New Roman" w:hAnsi="Bookman Old Style" w:cs="Times New Roman"/>
          <w:sz w:val="24"/>
          <w:szCs w:val="24"/>
        </w:rPr>
        <w:t>: 71.2% de los hogares con ingresos más bajos se encuentran en situación de inseguridad alimentaria; esta situación se replica para el 62.7% de quienes reportan índice de riqueza bajo; 49.3% de quienes reportan índice de riqueza medio y 33% de quienes reportan ingresos altos.</w:t>
      </w:r>
    </w:p>
    <w:p w14:paraId="210AA841" w14:textId="77777777" w:rsidR="001F7126" w:rsidRPr="001F7126" w:rsidRDefault="001F7126" w:rsidP="001F7126">
      <w:pPr>
        <w:spacing w:after="0" w:line="276" w:lineRule="auto"/>
        <w:jc w:val="both"/>
        <w:rPr>
          <w:rFonts w:ascii="Bookman Old Style" w:eastAsia="Times New Roman" w:hAnsi="Bookman Old Style" w:cs="Times New Roman"/>
          <w:sz w:val="24"/>
          <w:szCs w:val="24"/>
        </w:rPr>
      </w:pPr>
    </w:p>
    <w:p w14:paraId="20AF0F3A" w14:textId="508106E7" w:rsidR="001F7126" w:rsidRPr="001F7126" w:rsidRDefault="001F7126" w:rsidP="001F7126">
      <w:pPr>
        <w:spacing w:after="0" w:line="276" w:lineRule="auto"/>
        <w:jc w:val="both"/>
        <w:rPr>
          <w:rFonts w:ascii="Bookman Old Style" w:eastAsia="Times New Roman" w:hAnsi="Bookman Old Style" w:cs="Times New Roman"/>
          <w:sz w:val="24"/>
          <w:szCs w:val="24"/>
        </w:rPr>
      </w:pPr>
      <w:r w:rsidRPr="001F7126">
        <w:rPr>
          <w:rFonts w:ascii="Bookman Old Style" w:eastAsia="Times New Roman" w:hAnsi="Bookman Old Style" w:cs="Times New Roman"/>
          <w:sz w:val="24"/>
          <w:szCs w:val="24"/>
        </w:rPr>
        <w:t>En lo que respecta a la situación de la infancia y la niñez, la ENSIN 2015 resalta que La desnutrición crónica (que mide el retraso en la talla para la edad) se situó en un 10,8 % y la desnutrición aguda en menores de 5 años se ubicó en 2,3%, muy por encima del 0.9% evidenciado en la ENSIN 2010.</w:t>
      </w:r>
      <w:r>
        <w:rPr>
          <w:rFonts w:ascii="Bookman Old Style" w:eastAsia="Times New Roman" w:hAnsi="Bookman Old Style" w:cs="Times New Roman"/>
          <w:sz w:val="24"/>
          <w:szCs w:val="24"/>
        </w:rPr>
        <w:t xml:space="preserve"> </w:t>
      </w:r>
      <w:r w:rsidRPr="001F7126">
        <w:rPr>
          <w:rFonts w:ascii="Bookman Old Style" w:eastAsia="Times New Roman" w:hAnsi="Bookman Old Style" w:cs="Times New Roman"/>
          <w:sz w:val="24"/>
          <w:szCs w:val="24"/>
        </w:rPr>
        <w:t>Ahora bien, la anterior situación se contrasta con el más reciente informe de la Organización</w:t>
      </w:r>
      <w:r>
        <w:rPr>
          <w:rFonts w:ascii="Bookman Old Style" w:eastAsia="Times New Roman" w:hAnsi="Bookman Old Style" w:cs="Times New Roman"/>
          <w:sz w:val="24"/>
          <w:szCs w:val="24"/>
        </w:rPr>
        <w:t xml:space="preserve"> </w:t>
      </w:r>
      <w:r w:rsidRPr="001F7126">
        <w:rPr>
          <w:rFonts w:ascii="Bookman Old Style" w:eastAsia="Times New Roman" w:hAnsi="Bookman Old Style" w:cs="Times New Roman"/>
          <w:sz w:val="24"/>
          <w:szCs w:val="24"/>
        </w:rPr>
        <w:t>de las Naciones Unidas para la Alimentación y la Agricultura (FAO) sobre seguridad</w:t>
      </w:r>
      <w:r>
        <w:rPr>
          <w:rFonts w:ascii="Bookman Old Style" w:eastAsia="Times New Roman" w:hAnsi="Bookman Old Style" w:cs="Times New Roman"/>
          <w:sz w:val="24"/>
          <w:szCs w:val="24"/>
        </w:rPr>
        <w:t xml:space="preserve"> </w:t>
      </w:r>
      <w:r w:rsidRPr="001F7126">
        <w:rPr>
          <w:rFonts w:ascii="Bookman Old Style" w:eastAsia="Times New Roman" w:hAnsi="Bookman Old Style" w:cs="Times New Roman"/>
          <w:sz w:val="24"/>
          <w:szCs w:val="24"/>
        </w:rPr>
        <w:t>alimentaria y nutrición. De acuerdo con esta organización internacional, el 6.5% de los</w:t>
      </w:r>
      <w:r w:rsidR="005F1407">
        <w:rPr>
          <w:rFonts w:ascii="Bookman Old Style" w:eastAsia="Times New Roman" w:hAnsi="Bookman Old Style" w:cs="Times New Roman"/>
          <w:sz w:val="24"/>
          <w:szCs w:val="24"/>
        </w:rPr>
        <w:t xml:space="preserve"> </w:t>
      </w:r>
      <w:r w:rsidRPr="001F7126">
        <w:rPr>
          <w:rFonts w:ascii="Bookman Old Style" w:eastAsia="Times New Roman" w:hAnsi="Bookman Old Style" w:cs="Times New Roman"/>
          <w:sz w:val="24"/>
          <w:szCs w:val="24"/>
        </w:rPr>
        <w:t>colombianos están en condición de hambre, ubicando al país en un lugar vergonzoso, por</w:t>
      </w:r>
      <w:r w:rsidR="005F1407">
        <w:rPr>
          <w:rFonts w:ascii="Bookman Old Style" w:eastAsia="Times New Roman" w:hAnsi="Bookman Old Style" w:cs="Times New Roman"/>
          <w:sz w:val="24"/>
          <w:szCs w:val="24"/>
        </w:rPr>
        <w:t xml:space="preserve"> </w:t>
      </w:r>
      <w:r w:rsidRPr="001F7126">
        <w:rPr>
          <w:rFonts w:ascii="Bookman Old Style" w:eastAsia="Times New Roman" w:hAnsi="Bookman Old Style" w:cs="Times New Roman"/>
          <w:sz w:val="24"/>
          <w:szCs w:val="24"/>
        </w:rPr>
        <w:t>encima de la media regional, situado en un 6,1%. En cuanto a desnutrición global, que marca.</w:t>
      </w:r>
      <w:r w:rsidR="005F1407">
        <w:rPr>
          <w:rFonts w:ascii="Bookman Old Style" w:eastAsia="Times New Roman" w:hAnsi="Bookman Old Style" w:cs="Times New Roman"/>
          <w:sz w:val="24"/>
          <w:szCs w:val="24"/>
        </w:rPr>
        <w:t xml:space="preserve"> </w:t>
      </w:r>
      <w:r w:rsidRPr="001F7126">
        <w:rPr>
          <w:rFonts w:ascii="Bookman Old Style" w:eastAsia="Times New Roman" w:hAnsi="Bookman Old Style" w:cs="Times New Roman"/>
          <w:sz w:val="24"/>
          <w:szCs w:val="24"/>
        </w:rPr>
        <w:t xml:space="preserve">el peso para la </w:t>
      </w:r>
      <w:r w:rsidR="005F1407" w:rsidRPr="001F7126">
        <w:rPr>
          <w:rFonts w:ascii="Bookman Old Style" w:eastAsia="Times New Roman" w:hAnsi="Bookman Old Style" w:cs="Times New Roman"/>
          <w:sz w:val="24"/>
          <w:szCs w:val="24"/>
        </w:rPr>
        <w:t>edad</w:t>
      </w:r>
      <w:r w:rsidRPr="001F7126">
        <w:rPr>
          <w:rFonts w:ascii="Bookman Old Style" w:eastAsia="Times New Roman" w:hAnsi="Bookman Old Style" w:cs="Times New Roman"/>
          <w:sz w:val="24"/>
          <w:szCs w:val="24"/>
        </w:rPr>
        <w:t xml:space="preserve"> se tiene que ésta afecta a 3,7% de los menores del país.</w:t>
      </w:r>
    </w:p>
    <w:p w14:paraId="76E7D824" w14:textId="77777777" w:rsidR="001F7126" w:rsidRPr="001F7126" w:rsidRDefault="001F7126" w:rsidP="001F7126">
      <w:pPr>
        <w:spacing w:after="0" w:line="276" w:lineRule="auto"/>
        <w:jc w:val="both"/>
        <w:rPr>
          <w:rFonts w:ascii="Bookman Old Style" w:eastAsia="Times New Roman" w:hAnsi="Bookman Old Style" w:cs="Times New Roman"/>
          <w:sz w:val="24"/>
          <w:szCs w:val="24"/>
        </w:rPr>
      </w:pPr>
    </w:p>
    <w:p w14:paraId="573959D5" w14:textId="2172D67C" w:rsidR="001F7126" w:rsidRPr="001A7C74" w:rsidRDefault="001F7126" w:rsidP="001F7126">
      <w:pPr>
        <w:spacing w:after="0" w:line="276" w:lineRule="auto"/>
        <w:jc w:val="both"/>
        <w:rPr>
          <w:rFonts w:ascii="Bookman Old Style" w:eastAsia="Times New Roman" w:hAnsi="Bookman Old Style" w:cs="Times New Roman"/>
          <w:sz w:val="24"/>
          <w:szCs w:val="24"/>
        </w:rPr>
      </w:pPr>
      <w:r w:rsidRPr="001F7126">
        <w:rPr>
          <w:rFonts w:ascii="Bookman Old Style" w:eastAsia="Times New Roman" w:hAnsi="Bookman Old Style" w:cs="Times New Roman"/>
          <w:sz w:val="24"/>
          <w:szCs w:val="24"/>
        </w:rPr>
        <w:t xml:space="preserve">En lo que respecta a los menores de 5 a 12 años se tiene que Siete de cada 100 menores en edad escolar presentan desnutrición crónica. Situación que es más grave para los menores </w:t>
      </w:r>
      <w:r w:rsidR="005F1407" w:rsidRPr="001F7126">
        <w:rPr>
          <w:rFonts w:ascii="Bookman Old Style" w:eastAsia="Times New Roman" w:hAnsi="Bookman Old Style" w:cs="Times New Roman"/>
          <w:sz w:val="24"/>
          <w:szCs w:val="24"/>
        </w:rPr>
        <w:t>indígenas</w:t>
      </w:r>
      <w:r w:rsidRPr="001F7126">
        <w:rPr>
          <w:rFonts w:ascii="Bookman Old Style" w:eastAsia="Times New Roman" w:hAnsi="Bookman Old Style" w:cs="Times New Roman"/>
          <w:sz w:val="24"/>
          <w:szCs w:val="24"/>
        </w:rPr>
        <w:t>, donde 30 de cada 100 menores presentan este problema, mientras que esta situación se extiende a 11 de cada 100 niños de los hogares más pobres del país.</w:t>
      </w:r>
    </w:p>
    <w:p w14:paraId="35F9CE8C" w14:textId="77777777" w:rsidR="003F7E77" w:rsidRPr="001A7C74" w:rsidRDefault="003F7E77" w:rsidP="003F7E77">
      <w:pPr>
        <w:spacing w:after="0" w:line="276" w:lineRule="auto"/>
        <w:jc w:val="both"/>
        <w:rPr>
          <w:rFonts w:ascii="Bookman Old Style" w:eastAsia="Times New Roman" w:hAnsi="Bookman Old Style" w:cs="Times New Roman"/>
          <w:b/>
          <w:sz w:val="24"/>
          <w:szCs w:val="24"/>
        </w:rPr>
      </w:pPr>
    </w:p>
    <w:p w14:paraId="4B75AB39" w14:textId="77777777" w:rsidR="003F7E77" w:rsidRPr="001A7C74" w:rsidRDefault="003F7E77" w:rsidP="003F7E77">
      <w:pPr>
        <w:pStyle w:val="Prrafodelista"/>
        <w:numPr>
          <w:ilvl w:val="0"/>
          <w:numId w:val="1"/>
        </w:numPr>
        <w:spacing w:after="0" w:line="276" w:lineRule="auto"/>
        <w:jc w:val="both"/>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Contexto normativo</w:t>
      </w:r>
    </w:p>
    <w:p w14:paraId="7C3685CA" w14:textId="77777777" w:rsidR="003F7E77" w:rsidRPr="001A7C74" w:rsidRDefault="003F7E77" w:rsidP="003F7E77">
      <w:pPr>
        <w:spacing w:after="0" w:line="276" w:lineRule="auto"/>
        <w:ind w:left="360"/>
        <w:jc w:val="both"/>
        <w:rPr>
          <w:rFonts w:ascii="Bookman Old Style" w:eastAsia="Times New Roman" w:hAnsi="Bookman Old Style" w:cs="Times New Roman"/>
          <w:b/>
          <w:sz w:val="24"/>
          <w:szCs w:val="24"/>
        </w:rPr>
      </w:pPr>
    </w:p>
    <w:p w14:paraId="52B79FA7" w14:textId="77777777" w:rsidR="003F7E77" w:rsidRPr="001A7C74" w:rsidRDefault="003F7E77" w:rsidP="003F7E77">
      <w:pPr>
        <w:numPr>
          <w:ilvl w:val="0"/>
          <w:numId w:val="5"/>
        </w:numPr>
        <w:spacing w:after="0" w:line="276" w:lineRule="auto"/>
        <w:jc w:val="both"/>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Marco jurídico internacional que soporta la medida.</w:t>
      </w:r>
    </w:p>
    <w:p w14:paraId="69749A83" w14:textId="77777777" w:rsidR="003F7E77" w:rsidRPr="001A7C74" w:rsidRDefault="003F7E77" w:rsidP="003F7E77">
      <w:pPr>
        <w:spacing w:after="0" w:line="276" w:lineRule="auto"/>
        <w:jc w:val="both"/>
        <w:rPr>
          <w:rFonts w:ascii="Bookman Old Style" w:eastAsia="Times New Roman" w:hAnsi="Bookman Old Style" w:cs="Times New Roman"/>
          <w:b/>
          <w:sz w:val="24"/>
          <w:szCs w:val="24"/>
        </w:rPr>
      </w:pPr>
    </w:p>
    <w:p w14:paraId="3958936B" w14:textId="77777777" w:rsidR="003F7E77" w:rsidRPr="001A7C74" w:rsidRDefault="003F7E77" w:rsidP="003F7E77">
      <w:pPr>
        <w:numPr>
          <w:ilvl w:val="0"/>
          <w:numId w:val="4"/>
        </w:numPr>
        <w:pBdr>
          <w:top w:val="nil"/>
          <w:left w:val="nil"/>
          <w:bottom w:val="nil"/>
          <w:right w:val="nil"/>
          <w:between w:val="nil"/>
        </w:pBdr>
        <w:spacing w:after="0" w:line="276" w:lineRule="auto"/>
        <w:jc w:val="both"/>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Referencia al Sistema Internacional de los Derechos Humanos y al Derecho Humano a la Alimentación</w:t>
      </w:r>
    </w:p>
    <w:p w14:paraId="161C4511" w14:textId="77777777" w:rsidR="003F7E77" w:rsidRPr="001A7C74" w:rsidRDefault="003F7E77" w:rsidP="003F7E77">
      <w:pPr>
        <w:spacing w:after="0" w:line="276" w:lineRule="auto"/>
        <w:jc w:val="both"/>
        <w:rPr>
          <w:rFonts w:ascii="Bookman Old Style" w:eastAsia="Times New Roman" w:hAnsi="Bookman Old Style" w:cs="Times New Roman"/>
          <w:b/>
          <w:sz w:val="24"/>
          <w:szCs w:val="24"/>
        </w:rPr>
      </w:pPr>
    </w:p>
    <w:p w14:paraId="559264CE"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Los Derechos Humanos se constituyen como aquellas prerrogativas que resultan ser inherentes al ser humano en tanto miembro perteneciente a la especie. El goce de los mismos debe garantizarse y protegerse sin distinción alguna de nacionalidad, lugar de residencia, sexo, origen nacional o étnico, color, religión, lengua, o cualquier otra condición</w:t>
      </w:r>
      <w:r w:rsidRPr="001A7C74">
        <w:rPr>
          <w:rFonts w:ascii="Bookman Old Style" w:eastAsia="Times New Roman" w:hAnsi="Bookman Old Style" w:cs="Times New Roman"/>
          <w:sz w:val="24"/>
          <w:szCs w:val="24"/>
          <w:vertAlign w:val="superscript"/>
        </w:rPr>
        <w:footnoteReference w:id="4"/>
      </w:r>
      <w:r w:rsidRPr="001A7C74">
        <w:rPr>
          <w:rFonts w:ascii="Bookman Old Style" w:eastAsia="Times New Roman" w:hAnsi="Bookman Old Style" w:cs="Times New Roman"/>
          <w:sz w:val="24"/>
          <w:szCs w:val="24"/>
        </w:rPr>
        <w:t>. De esta forma, todo ser humano es titular y debe gozar de estos derechos en igualdad y sin discriminación</w:t>
      </w:r>
      <w:r w:rsidRPr="001A7C74">
        <w:rPr>
          <w:rFonts w:ascii="Bookman Old Style" w:eastAsia="Times New Roman" w:hAnsi="Bookman Old Style" w:cs="Times New Roman"/>
          <w:sz w:val="24"/>
          <w:szCs w:val="24"/>
          <w:vertAlign w:val="superscript"/>
        </w:rPr>
        <w:footnoteReference w:id="5"/>
      </w:r>
      <w:r w:rsidRPr="001A7C74">
        <w:rPr>
          <w:rFonts w:ascii="Bookman Old Style" w:eastAsia="Times New Roman" w:hAnsi="Bookman Old Style" w:cs="Times New Roman"/>
          <w:sz w:val="24"/>
          <w:szCs w:val="24"/>
        </w:rPr>
        <w:t>. Estos derechos son universales</w:t>
      </w:r>
      <w:r w:rsidRPr="001A7C74">
        <w:rPr>
          <w:rFonts w:ascii="Bookman Old Style" w:eastAsia="Times New Roman" w:hAnsi="Bookman Old Style" w:cs="Times New Roman"/>
          <w:sz w:val="24"/>
          <w:szCs w:val="24"/>
          <w:vertAlign w:val="superscript"/>
        </w:rPr>
        <w:footnoteReference w:id="6"/>
      </w:r>
      <w:r w:rsidRPr="001A7C74">
        <w:rPr>
          <w:rFonts w:ascii="Bookman Old Style" w:eastAsia="Times New Roman" w:hAnsi="Bookman Old Style" w:cs="Times New Roman"/>
          <w:sz w:val="24"/>
          <w:szCs w:val="24"/>
        </w:rPr>
        <w:t xml:space="preserve"> e inalienables</w:t>
      </w:r>
      <w:r w:rsidRPr="001A7C74">
        <w:rPr>
          <w:rFonts w:ascii="Bookman Old Style" w:eastAsia="Times New Roman" w:hAnsi="Bookman Old Style" w:cs="Times New Roman"/>
          <w:sz w:val="24"/>
          <w:szCs w:val="24"/>
          <w:vertAlign w:val="superscript"/>
        </w:rPr>
        <w:footnoteReference w:id="7"/>
      </w:r>
      <w:r w:rsidRPr="001A7C74">
        <w:rPr>
          <w:rFonts w:ascii="Bookman Old Style" w:eastAsia="Times New Roman" w:hAnsi="Bookman Old Style" w:cs="Times New Roman"/>
          <w:sz w:val="24"/>
          <w:szCs w:val="24"/>
        </w:rPr>
        <w:t>. Así mismo, se consideran en todo caso interrelacionados, interdependientes e indivisibles</w:t>
      </w:r>
      <w:r w:rsidRPr="001A7C74">
        <w:rPr>
          <w:rFonts w:ascii="Bookman Old Style" w:eastAsia="Times New Roman" w:hAnsi="Bookman Old Style" w:cs="Times New Roman"/>
          <w:sz w:val="24"/>
          <w:szCs w:val="24"/>
          <w:vertAlign w:val="superscript"/>
        </w:rPr>
        <w:footnoteReference w:id="8"/>
      </w:r>
      <w:r w:rsidRPr="001A7C74">
        <w:rPr>
          <w:rFonts w:ascii="Bookman Old Style" w:eastAsia="Times New Roman" w:hAnsi="Bookman Old Style" w:cs="Times New Roman"/>
          <w:sz w:val="24"/>
          <w:szCs w:val="24"/>
        </w:rPr>
        <w:t>. Ahora, pese a estar contemplados en la denominada Carta Internacional de los Derechos Humanos</w:t>
      </w:r>
      <w:r w:rsidRPr="001A7C74">
        <w:rPr>
          <w:rFonts w:ascii="Bookman Old Style" w:eastAsia="Times New Roman" w:hAnsi="Bookman Old Style" w:cs="Times New Roman"/>
          <w:sz w:val="24"/>
          <w:szCs w:val="24"/>
          <w:vertAlign w:val="superscript"/>
        </w:rPr>
        <w:footnoteReference w:id="9"/>
      </w:r>
      <w:r w:rsidRPr="001A7C74">
        <w:rPr>
          <w:rFonts w:ascii="Bookman Old Style" w:eastAsia="Times New Roman" w:hAnsi="Bookman Old Style" w:cs="Times New Roman"/>
          <w:sz w:val="24"/>
          <w:szCs w:val="24"/>
        </w:rPr>
        <w:t xml:space="preserve">, compuesta por la Declaración Universal de los Derechos Humanos de 1948 y por los sucesivos Pactos a los que se hará referencia a continuación, doctrinalmente, los Derechos </w:t>
      </w:r>
      <w:r w:rsidRPr="001A7C74">
        <w:rPr>
          <w:rFonts w:ascii="Bookman Old Style" w:eastAsia="Times New Roman" w:hAnsi="Bookman Old Style" w:cs="Times New Roman"/>
          <w:sz w:val="24"/>
          <w:szCs w:val="24"/>
        </w:rPr>
        <w:lastRenderedPageBreak/>
        <w:t xml:space="preserve">Humanos se han categorizado  en tres grupos, a saber: Derechos Civiles y Políticos o de primera generación, los cuales se encuentran contenidos tanto en la Declaración Universal de los Derechos Humanos de 1948, de manera general, como en el Pacto Internacional de Derechos Civiles y Políticos de 1966; Derechos Económicos, Sociales y Culturales o de segunda generación, los cuales se encuentran consagrados ya en la Declaración Universal de los Derechos Humanos de 1948, </w:t>
      </w:r>
      <w:r w:rsidRPr="001A7C74">
        <w:rPr>
          <w:rFonts w:ascii="Bookman Old Style" w:eastAsia="Times New Roman" w:hAnsi="Bookman Old Style" w:cs="Times New Roman"/>
          <w:i/>
          <w:sz w:val="24"/>
          <w:szCs w:val="24"/>
        </w:rPr>
        <w:t>grosso modo</w:t>
      </w:r>
      <w:r w:rsidRPr="001A7C74">
        <w:rPr>
          <w:rFonts w:ascii="Bookman Old Style" w:eastAsia="Times New Roman" w:hAnsi="Bookman Old Style" w:cs="Times New Roman"/>
          <w:sz w:val="24"/>
          <w:szCs w:val="24"/>
        </w:rPr>
        <w:t>, como en el Pacto Internacional de Derechos Económicos, Sociales y Culturales de 1966; y Derechos Colectivos o de tercera generación</w:t>
      </w:r>
      <w:r w:rsidRPr="001A7C74">
        <w:rPr>
          <w:rFonts w:ascii="Bookman Old Style" w:eastAsia="Times New Roman" w:hAnsi="Bookman Old Style" w:cs="Times New Roman"/>
          <w:sz w:val="24"/>
          <w:szCs w:val="24"/>
          <w:vertAlign w:val="superscript"/>
        </w:rPr>
        <w:footnoteReference w:id="10"/>
      </w:r>
      <w:r w:rsidRPr="001A7C74">
        <w:rPr>
          <w:rFonts w:ascii="Bookman Old Style" w:eastAsia="Times New Roman" w:hAnsi="Bookman Old Style" w:cs="Times New Roman"/>
          <w:sz w:val="24"/>
          <w:szCs w:val="24"/>
        </w:rPr>
        <w:t>.  Al respecto, es menester resaltar nuevamente la interdependencia y unidad de los Derechos Humanos</w:t>
      </w:r>
      <w:r w:rsidRPr="001A7C74">
        <w:rPr>
          <w:rFonts w:ascii="Bookman Old Style" w:eastAsia="Times New Roman" w:hAnsi="Bookman Old Style" w:cs="Times New Roman"/>
          <w:sz w:val="24"/>
          <w:szCs w:val="24"/>
          <w:vertAlign w:val="superscript"/>
        </w:rPr>
        <w:footnoteReference w:id="11"/>
      </w:r>
      <w:r w:rsidRPr="001A7C74">
        <w:rPr>
          <w:rFonts w:ascii="Bookman Old Style" w:eastAsia="Times New Roman" w:hAnsi="Bookman Old Style" w:cs="Times New Roman"/>
          <w:sz w:val="24"/>
          <w:szCs w:val="24"/>
        </w:rPr>
        <w:t>, la cual cobra especial importancia, de conformidad con la Corte Constitucional, en el marco de un Estado Social de Derecho, fórmula acogida por la Constitución Política de 1991</w:t>
      </w:r>
      <w:r w:rsidRPr="001A7C74">
        <w:rPr>
          <w:rFonts w:ascii="Bookman Old Style" w:eastAsia="Times New Roman" w:hAnsi="Bookman Old Style" w:cs="Times New Roman"/>
          <w:sz w:val="24"/>
          <w:szCs w:val="24"/>
          <w:vertAlign w:val="superscript"/>
        </w:rPr>
        <w:footnoteReference w:id="12"/>
      </w:r>
      <w:r w:rsidRPr="001A7C74">
        <w:rPr>
          <w:rFonts w:ascii="Bookman Old Style" w:eastAsia="Times New Roman" w:hAnsi="Bookman Old Style" w:cs="Times New Roman"/>
          <w:sz w:val="24"/>
          <w:szCs w:val="24"/>
        </w:rPr>
        <w:t>.</w:t>
      </w:r>
    </w:p>
    <w:p w14:paraId="6C32258C"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p>
    <w:p w14:paraId="5AD76F95"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lastRenderedPageBreak/>
        <w:t>Del mismo modo, es preciso anotar que los Derechos Humanos representan los valores universales y constituyen imperativos éticos destinados a salvaguardar la dignidad de cada ser humano mediante el establecimiento de normas, lineamientos y procedimientos tendientes al aseguramiento y garantía de la precitada finalidad</w:t>
      </w:r>
      <w:r w:rsidRPr="001A7C74">
        <w:rPr>
          <w:rFonts w:ascii="Bookman Old Style" w:eastAsia="Times New Roman" w:hAnsi="Bookman Old Style" w:cs="Times New Roman"/>
          <w:sz w:val="24"/>
          <w:szCs w:val="24"/>
          <w:vertAlign w:val="superscript"/>
        </w:rPr>
        <w:footnoteReference w:id="13"/>
      </w:r>
      <w:r w:rsidRPr="001A7C74">
        <w:rPr>
          <w:rFonts w:ascii="Bookman Old Style" w:eastAsia="Times New Roman" w:hAnsi="Bookman Old Style" w:cs="Times New Roman"/>
          <w:sz w:val="24"/>
          <w:szCs w:val="24"/>
        </w:rPr>
        <w:t>.</w:t>
      </w:r>
    </w:p>
    <w:p w14:paraId="15E08D8F"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p>
    <w:p w14:paraId="62A36609"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Al respecto, es menester resaltar que el Derecho Internacional de los Derechos Humanos impone a los Estados obligaciones positivas y negativas, entendidas en todo caso como obligaciones destinadas al respeto</w:t>
      </w:r>
      <w:r w:rsidRPr="001A7C74">
        <w:rPr>
          <w:rFonts w:ascii="Bookman Old Style" w:eastAsia="Times New Roman" w:hAnsi="Bookman Old Style" w:cs="Times New Roman"/>
          <w:sz w:val="24"/>
          <w:szCs w:val="24"/>
          <w:vertAlign w:val="superscript"/>
        </w:rPr>
        <w:footnoteReference w:id="14"/>
      </w:r>
      <w:r w:rsidRPr="001A7C74">
        <w:rPr>
          <w:rFonts w:ascii="Bookman Old Style" w:eastAsia="Times New Roman" w:hAnsi="Bookman Old Style" w:cs="Times New Roman"/>
          <w:sz w:val="24"/>
          <w:szCs w:val="24"/>
        </w:rPr>
        <w:t>, protección</w:t>
      </w:r>
      <w:r w:rsidRPr="001A7C74">
        <w:rPr>
          <w:rFonts w:ascii="Bookman Old Style" w:eastAsia="Times New Roman" w:hAnsi="Bookman Old Style" w:cs="Times New Roman"/>
          <w:sz w:val="24"/>
          <w:szCs w:val="24"/>
          <w:vertAlign w:val="superscript"/>
        </w:rPr>
        <w:footnoteReference w:id="15"/>
      </w:r>
      <w:r w:rsidRPr="001A7C74">
        <w:rPr>
          <w:rFonts w:ascii="Bookman Old Style" w:eastAsia="Times New Roman" w:hAnsi="Bookman Old Style" w:cs="Times New Roman"/>
          <w:sz w:val="24"/>
          <w:szCs w:val="24"/>
        </w:rPr>
        <w:t xml:space="preserve"> y realización</w:t>
      </w:r>
      <w:r w:rsidRPr="001A7C74">
        <w:rPr>
          <w:rFonts w:ascii="Bookman Old Style" w:eastAsia="Times New Roman" w:hAnsi="Bookman Old Style" w:cs="Times New Roman"/>
          <w:sz w:val="24"/>
          <w:szCs w:val="24"/>
          <w:vertAlign w:val="superscript"/>
        </w:rPr>
        <w:footnoteReference w:id="16"/>
      </w:r>
      <w:r w:rsidRPr="001A7C74">
        <w:rPr>
          <w:rFonts w:ascii="Bookman Old Style" w:eastAsia="Times New Roman" w:hAnsi="Bookman Old Style" w:cs="Times New Roman"/>
          <w:sz w:val="24"/>
          <w:szCs w:val="24"/>
        </w:rPr>
        <w:t xml:space="preserve"> de los mismos. Es precisamente en atención a los precitados deberes, de los cuales el Estado colombiano es titular, que se garantizar el Derecho Humano a la alimentación adecuada.</w:t>
      </w:r>
    </w:p>
    <w:p w14:paraId="318E653A"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p>
    <w:p w14:paraId="3ECE2282"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lastRenderedPageBreak/>
        <w:t>En ese sentido, vale la pena resaltar que los diversos instrumentos internacionales a los cuales se ha hecho referencia en la presente exposición de motivos han facultado a los Estados para que éstos adopten las medidas internas que consideren más apropiadas, de conformidad con sus contextos y realidades internas, con el propósito de lograr la efectiva realización de los Derechos contemplados en la Carta Internacional de Derechos Humanos y de los sucesivos instrumentos de carácter regional que consagran disposiciones similares</w:t>
      </w:r>
      <w:r w:rsidRPr="001A7C74">
        <w:rPr>
          <w:rFonts w:ascii="Bookman Old Style" w:eastAsia="Times New Roman" w:hAnsi="Bookman Old Style" w:cs="Times New Roman"/>
          <w:sz w:val="24"/>
          <w:szCs w:val="24"/>
          <w:vertAlign w:val="superscript"/>
        </w:rPr>
        <w:footnoteReference w:id="17"/>
      </w:r>
      <w:r w:rsidRPr="001A7C74">
        <w:rPr>
          <w:rFonts w:ascii="Bookman Old Style" w:eastAsia="Times New Roman" w:hAnsi="Bookman Old Style" w:cs="Times New Roman"/>
          <w:sz w:val="24"/>
          <w:szCs w:val="24"/>
        </w:rPr>
        <w:t xml:space="preserve">. </w:t>
      </w:r>
    </w:p>
    <w:p w14:paraId="050EB729"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p>
    <w:p w14:paraId="209562E2" w14:textId="77777777" w:rsidR="003F7E77" w:rsidRPr="001A7C74" w:rsidRDefault="003F7E77" w:rsidP="003F7E77">
      <w:pPr>
        <w:numPr>
          <w:ilvl w:val="0"/>
          <w:numId w:val="4"/>
        </w:numPr>
        <w:pBdr>
          <w:top w:val="nil"/>
          <w:left w:val="nil"/>
          <w:bottom w:val="nil"/>
          <w:right w:val="nil"/>
          <w:between w:val="nil"/>
        </w:pBdr>
        <w:spacing w:after="0" w:line="276" w:lineRule="auto"/>
        <w:jc w:val="both"/>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 xml:space="preserve"> El Derecho Humano a la Alimentación como Derecho Económico, Social y Cultural (DESC)</w:t>
      </w:r>
    </w:p>
    <w:p w14:paraId="1DFF3A6A" w14:textId="77777777" w:rsidR="003F7E77" w:rsidRPr="001A7C74" w:rsidRDefault="003F7E77" w:rsidP="003F7E77">
      <w:pPr>
        <w:spacing w:after="0" w:line="276" w:lineRule="auto"/>
        <w:jc w:val="both"/>
        <w:rPr>
          <w:rFonts w:ascii="Bookman Old Style" w:eastAsia="Times New Roman" w:hAnsi="Bookman Old Style" w:cs="Times New Roman"/>
          <w:b/>
          <w:sz w:val="24"/>
          <w:szCs w:val="24"/>
        </w:rPr>
      </w:pPr>
    </w:p>
    <w:p w14:paraId="6370C4D4"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Respecto al derecho humano a la alimentación, que puede calificarse como el núcleo duro del presente proyecto de Ley, es pertinente resaltar que el mismo se ha considerado como parte de los denominados Derechos Económicos Sociales y Culturales y, en adición a lo anterior, ha sido aceptado universalmente. Así, éste se encuentra contemplado en diversos instrumentos y doctrina de Derecho Internacional relacionados con los Derechos Humanos, entre estos:</w:t>
      </w:r>
    </w:p>
    <w:p w14:paraId="783BEE6D" w14:textId="77777777" w:rsidR="003F7E77" w:rsidRPr="001A7C74" w:rsidRDefault="003F7E77" w:rsidP="003F7E77">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Artículo 25.1 de la Declaración Universal de los Derechos Humanos de la Asamblea General de las Naciones Unidas de 1948</w:t>
      </w:r>
      <w:r w:rsidRPr="001A7C74">
        <w:rPr>
          <w:rFonts w:ascii="Bookman Old Style" w:eastAsia="Times New Roman" w:hAnsi="Bookman Old Style" w:cs="Times New Roman"/>
          <w:sz w:val="24"/>
          <w:szCs w:val="24"/>
          <w:vertAlign w:val="superscript"/>
        </w:rPr>
        <w:footnoteReference w:id="18"/>
      </w:r>
    </w:p>
    <w:p w14:paraId="2E36BDA4" w14:textId="77777777" w:rsidR="003F7E77" w:rsidRPr="001A7C74" w:rsidRDefault="003F7E77" w:rsidP="003F7E77">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Artículo 11 Pacto Internacional de Derechos Económicos, Sociales y Culturales de 1966</w:t>
      </w:r>
      <w:r w:rsidRPr="001A7C74">
        <w:rPr>
          <w:rFonts w:ascii="Bookman Old Style" w:eastAsia="Times New Roman" w:hAnsi="Bookman Old Style" w:cs="Times New Roman"/>
          <w:sz w:val="24"/>
          <w:szCs w:val="24"/>
          <w:vertAlign w:val="superscript"/>
        </w:rPr>
        <w:footnoteReference w:id="19"/>
      </w:r>
      <w:r w:rsidRPr="001A7C74">
        <w:rPr>
          <w:rFonts w:ascii="Bookman Old Style" w:eastAsia="Times New Roman" w:hAnsi="Bookman Old Style" w:cs="Times New Roman"/>
          <w:sz w:val="24"/>
          <w:szCs w:val="24"/>
        </w:rPr>
        <w:t xml:space="preserve"> en conjunto con la Observación General No. 12 del </w:t>
      </w:r>
      <w:r w:rsidRPr="001A7C74">
        <w:rPr>
          <w:rFonts w:ascii="Bookman Old Style" w:eastAsia="Times New Roman" w:hAnsi="Bookman Old Style" w:cs="Times New Roman"/>
          <w:sz w:val="24"/>
          <w:szCs w:val="24"/>
        </w:rPr>
        <w:lastRenderedPageBreak/>
        <w:t>Comité de Derechos Económicos, Sociales y Culturales de las Naciones Unidas</w:t>
      </w:r>
      <w:r w:rsidRPr="001A7C74">
        <w:rPr>
          <w:rFonts w:ascii="Bookman Old Style" w:eastAsia="Times New Roman" w:hAnsi="Bookman Old Style" w:cs="Times New Roman"/>
          <w:sz w:val="24"/>
          <w:szCs w:val="24"/>
          <w:vertAlign w:val="superscript"/>
        </w:rPr>
        <w:footnoteReference w:id="20"/>
      </w:r>
      <w:r w:rsidRPr="001A7C74">
        <w:rPr>
          <w:rFonts w:ascii="Bookman Old Style" w:eastAsia="Times New Roman" w:hAnsi="Bookman Old Style" w:cs="Times New Roman"/>
          <w:sz w:val="24"/>
          <w:szCs w:val="24"/>
        </w:rPr>
        <w:t xml:space="preserve">. </w:t>
      </w:r>
    </w:p>
    <w:p w14:paraId="051601BE" w14:textId="77777777" w:rsidR="003F7E77" w:rsidRPr="001A7C74" w:rsidRDefault="003F7E77" w:rsidP="003F7E77">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Artículo 24 de la Convención de los Derechos del Niño</w:t>
      </w:r>
      <w:r w:rsidRPr="001A7C74">
        <w:rPr>
          <w:rFonts w:ascii="Bookman Old Style" w:eastAsia="Times New Roman" w:hAnsi="Bookman Old Style" w:cs="Times New Roman"/>
          <w:sz w:val="24"/>
          <w:szCs w:val="24"/>
          <w:vertAlign w:val="superscript"/>
        </w:rPr>
        <w:footnoteReference w:id="21"/>
      </w:r>
    </w:p>
    <w:p w14:paraId="384D7C3D" w14:textId="77777777" w:rsidR="003F7E77" w:rsidRPr="001A7C74" w:rsidRDefault="003F7E77" w:rsidP="003F7E77">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Artículo 12.2 de la Convención sobre la Eliminación de Todas las Formas de Discriminación contra la Mujer</w:t>
      </w:r>
      <w:r w:rsidRPr="001A7C74">
        <w:rPr>
          <w:rFonts w:ascii="Bookman Old Style" w:eastAsia="Times New Roman" w:hAnsi="Bookman Old Style" w:cs="Times New Roman"/>
          <w:sz w:val="24"/>
          <w:szCs w:val="24"/>
          <w:vertAlign w:val="superscript"/>
        </w:rPr>
        <w:footnoteReference w:id="22"/>
      </w:r>
      <w:r w:rsidRPr="001A7C74">
        <w:rPr>
          <w:rFonts w:ascii="Bookman Old Style" w:eastAsia="Times New Roman" w:hAnsi="Bookman Old Style" w:cs="Times New Roman"/>
          <w:sz w:val="24"/>
          <w:szCs w:val="24"/>
        </w:rPr>
        <w:t>.</w:t>
      </w:r>
    </w:p>
    <w:p w14:paraId="0FA3FC11" w14:textId="77777777" w:rsidR="003F7E77" w:rsidRPr="001A7C74" w:rsidRDefault="003F7E77" w:rsidP="003F7E77">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literal f del Artículo 25, en el contexto del derecho a la salud, y el literal l del artículo 28 en el contexto del derecho a un nivel de vida adecuado y a la protección social, de la Convención sobre los Derechos de las Personas con Discapacidad</w:t>
      </w:r>
      <w:r w:rsidRPr="001A7C74">
        <w:rPr>
          <w:rFonts w:ascii="Bookman Old Style" w:eastAsia="Times New Roman" w:hAnsi="Bookman Old Style" w:cs="Times New Roman"/>
          <w:sz w:val="24"/>
          <w:szCs w:val="24"/>
          <w:vertAlign w:val="superscript"/>
        </w:rPr>
        <w:footnoteReference w:id="23"/>
      </w:r>
      <w:r w:rsidRPr="001A7C74">
        <w:rPr>
          <w:rFonts w:ascii="Bookman Old Style" w:eastAsia="Times New Roman" w:hAnsi="Bookman Old Style" w:cs="Times New Roman"/>
          <w:sz w:val="24"/>
          <w:szCs w:val="24"/>
        </w:rPr>
        <w:t xml:space="preserve">. </w:t>
      </w:r>
    </w:p>
    <w:p w14:paraId="2109CBBB" w14:textId="77777777" w:rsidR="003F7E77" w:rsidRPr="001A7C74" w:rsidRDefault="003F7E77" w:rsidP="003F7E77">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lastRenderedPageBreak/>
        <w:t>El Artículo 12 del Protocolo Adicional a la Convención Americana sobre Derechos Humanos en Materia de Derechos Económicos, Sociales y Culturales - Protocolo de San Salvador – de 1988</w:t>
      </w:r>
      <w:r w:rsidRPr="001A7C74">
        <w:rPr>
          <w:rFonts w:ascii="Bookman Old Style" w:eastAsia="Times New Roman" w:hAnsi="Bookman Old Style" w:cs="Times New Roman"/>
          <w:sz w:val="24"/>
          <w:szCs w:val="24"/>
          <w:vertAlign w:val="superscript"/>
        </w:rPr>
        <w:footnoteReference w:id="24"/>
      </w:r>
    </w:p>
    <w:p w14:paraId="0FD97737" w14:textId="77777777" w:rsidR="003F7E77" w:rsidRPr="001A7C74" w:rsidRDefault="003F7E77" w:rsidP="003F7E77">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Los literales c, y d del Artículo 14.2 de la Carta Africana sobre los Derecho y Bienestar del Niño, en conexidad con el derecho a la salud y a los servicios de salud.</w:t>
      </w:r>
    </w:p>
    <w:p w14:paraId="24BF27E3" w14:textId="77777777" w:rsidR="003F7E77" w:rsidRPr="001A7C74" w:rsidRDefault="003F7E77" w:rsidP="003F7E77">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Artículo 14 y 15 del Protocolo de la Carta Africana de Derechos Humanos y de los Pueblos sobre los Derechos de la Mujer en África.</w:t>
      </w:r>
    </w:p>
    <w:p w14:paraId="5469FE10" w14:textId="77777777" w:rsidR="003F7E77" w:rsidRPr="001A7C74" w:rsidRDefault="003F7E77" w:rsidP="003F7E77">
      <w:pPr>
        <w:numPr>
          <w:ilvl w:val="0"/>
          <w:numId w:val="2"/>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Jurisprudencialmente, la Comisión Africana de Derechos Humanos y de los Pueblos ha interpretado que el derecho a la alimentación se encuentra enunciado implícitamente en la Carta Africana de los Derechos Humanos y de los Pueblos de 1981, esto último a través de la conexidad que existe con los derechos a la vida, a la salud y al desarrollo económico, social y cultural</w:t>
      </w:r>
      <w:r w:rsidRPr="001A7C74">
        <w:rPr>
          <w:rFonts w:ascii="Bookman Old Style" w:eastAsia="Times New Roman" w:hAnsi="Bookman Old Style" w:cs="Times New Roman"/>
          <w:sz w:val="24"/>
          <w:szCs w:val="24"/>
          <w:vertAlign w:val="superscript"/>
        </w:rPr>
        <w:footnoteReference w:id="25"/>
      </w:r>
      <w:r w:rsidRPr="001A7C74">
        <w:rPr>
          <w:rFonts w:ascii="Bookman Old Style" w:eastAsia="Times New Roman" w:hAnsi="Bookman Old Style" w:cs="Times New Roman"/>
          <w:sz w:val="24"/>
          <w:szCs w:val="24"/>
        </w:rPr>
        <w:t>.</w:t>
      </w:r>
    </w:p>
    <w:p w14:paraId="01449A69" w14:textId="77777777" w:rsidR="003F7E77" w:rsidRPr="001A7C74" w:rsidRDefault="003F7E77" w:rsidP="003F7E77">
      <w:pPr>
        <w:pBdr>
          <w:top w:val="nil"/>
          <w:left w:val="nil"/>
          <w:bottom w:val="nil"/>
          <w:right w:val="nil"/>
          <w:between w:val="nil"/>
        </w:pBdr>
        <w:spacing w:after="0" w:line="276" w:lineRule="auto"/>
        <w:jc w:val="both"/>
        <w:rPr>
          <w:rFonts w:ascii="Bookman Old Style" w:eastAsia="Times New Roman" w:hAnsi="Bookman Old Style" w:cs="Times New Roman"/>
          <w:sz w:val="24"/>
          <w:szCs w:val="24"/>
        </w:rPr>
      </w:pPr>
    </w:p>
    <w:p w14:paraId="3FE46584"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 xml:space="preserve">En adición a lo anterior, el mismo ha sido mencionado, complementado, reconocido y/o desarrollado en diferentes instrumentos de </w:t>
      </w:r>
      <w:proofErr w:type="spellStart"/>
      <w:r w:rsidRPr="001A7C74">
        <w:rPr>
          <w:rFonts w:ascii="Bookman Old Style" w:eastAsia="Times New Roman" w:hAnsi="Bookman Old Style" w:cs="Times New Roman"/>
          <w:i/>
          <w:sz w:val="24"/>
          <w:szCs w:val="24"/>
        </w:rPr>
        <w:t>soft-law</w:t>
      </w:r>
      <w:proofErr w:type="spellEnd"/>
      <w:r w:rsidRPr="001A7C74">
        <w:rPr>
          <w:rFonts w:ascii="Bookman Old Style" w:eastAsia="Times New Roman" w:hAnsi="Bookman Old Style" w:cs="Times New Roman"/>
          <w:i/>
          <w:sz w:val="24"/>
          <w:szCs w:val="24"/>
        </w:rPr>
        <w:t xml:space="preserve"> </w:t>
      </w:r>
      <w:r w:rsidRPr="001A7C74">
        <w:rPr>
          <w:rFonts w:ascii="Bookman Old Style" w:eastAsia="Times New Roman" w:hAnsi="Bookman Old Style" w:cs="Times New Roman"/>
          <w:sz w:val="24"/>
          <w:szCs w:val="24"/>
        </w:rPr>
        <w:t>de derecho internacional, como lo son, entre otros:</w:t>
      </w:r>
    </w:p>
    <w:p w14:paraId="38175BB6" w14:textId="77777777" w:rsidR="003F7E77" w:rsidRPr="001A7C74" w:rsidRDefault="003F7E77" w:rsidP="003F7E77">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La Declaración Universal sobre la Erradicación del Hambre y la Malnutrición de 1974.</w:t>
      </w:r>
    </w:p>
    <w:p w14:paraId="7326237D" w14:textId="77777777" w:rsidR="003F7E77" w:rsidRPr="001A7C74" w:rsidRDefault="003F7E77" w:rsidP="003F7E77">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La Declaración Mundial sobre la Nutrición de 1992.</w:t>
      </w:r>
    </w:p>
    <w:p w14:paraId="192C7277" w14:textId="77777777" w:rsidR="003F7E77" w:rsidRPr="001A7C74" w:rsidRDefault="003F7E77" w:rsidP="003F7E77">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La Declaración de Roma sobre la Seguridad Alimentaria Mundial de 1966.</w:t>
      </w:r>
    </w:p>
    <w:p w14:paraId="5930030A" w14:textId="77777777" w:rsidR="003F7E77" w:rsidRPr="001A7C74" w:rsidRDefault="003F7E77" w:rsidP="003F7E77">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La Resolución 2004/19 de la Asamblea General de las Naciones Unidas.</w:t>
      </w:r>
    </w:p>
    <w:p w14:paraId="21F17F3C" w14:textId="77777777" w:rsidR="003F7E77" w:rsidRPr="001A7C74" w:rsidRDefault="003F7E77" w:rsidP="003F7E77">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Folleto Informativo No. 34 de la Oficina del Alto Comisionado de las Naciones Unidas para los Derechos Humanos y la FAO respecto al Derecho a la Alimentación Adecuada.</w:t>
      </w:r>
    </w:p>
    <w:p w14:paraId="48AAEA27" w14:textId="77777777" w:rsidR="003F7E77" w:rsidRPr="001A7C74" w:rsidRDefault="003F7E77" w:rsidP="003F7E77">
      <w:pPr>
        <w:numPr>
          <w:ilvl w:val="0"/>
          <w:numId w:val="3"/>
        </w:numPr>
        <w:pBdr>
          <w:top w:val="nil"/>
          <w:left w:val="nil"/>
          <w:bottom w:val="nil"/>
          <w:right w:val="nil"/>
          <w:between w:val="nil"/>
        </w:pBdr>
        <w:spacing w:after="0" w:line="276" w:lineRule="auto"/>
        <w:ind w:left="0" w:firstLine="0"/>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El Informe de fecha 11 de agosto de 2010 del Relator Especial de las Naciones Unidas sobre el derecho a la alimentación, en donde se señala que “</w:t>
      </w:r>
      <w:r w:rsidRPr="001A7C74">
        <w:rPr>
          <w:rFonts w:ascii="Bookman Old Style" w:eastAsia="Times New Roman" w:hAnsi="Bookman Old Style" w:cs="Times New Roman"/>
          <w:i/>
          <w:sz w:val="24"/>
          <w:szCs w:val="24"/>
        </w:rPr>
        <w:t xml:space="preserve">El acceso a la tierra y la seguridad de la tenencia son esenciales para </w:t>
      </w:r>
      <w:r w:rsidRPr="001A7C74">
        <w:rPr>
          <w:rFonts w:ascii="Bookman Old Style" w:eastAsia="Times New Roman" w:hAnsi="Bookman Old Style" w:cs="Times New Roman"/>
          <w:i/>
          <w:sz w:val="24"/>
          <w:szCs w:val="24"/>
        </w:rPr>
        <w:lastRenderedPageBreak/>
        <w:t>asegurar el disfrute no solo del derecho a la alimentación, sino también de otros derechos humanos, incluidos el derecho al trabajo (de los campesinos que no poseen tierras) y el derecho a la vivienda</w:t>
      </w:r>
      <w:r w:rsidRPr="001A7C74">
        <w:rPr>
          <w:rFonts w:ascii="Bookman Old Style" w:eastAsia="Times New Roman" w:hAnsi="Bookman Old Style" w:cs="Times New Roman"/>
          <w:sz w:val="24"/>
          <w:szCs w:val="24"/>
        </w:rPr>
        <w:t xml:space="preserve">”. </w:t>
      </w:r>
    </w:p>
    <w:p w14:paraId="5FE5AD56" w14:textId="77777777" w:rsidR="003F7E77" w:rsidRPr="001A7C74" w:rsidRDefault="003F7E77" w:rsidP="003F7E77">
      <w:pPr>
        <w:pBdr>
          <w:top w:val="nil"/>
          <w:left w:val="nil"/>
          <w:bottom w:val="nil"/>
          <w:right w:val="nil"/>
          <w:between w:val="nil"/>
        </w:pBdr>
        <w:spacing w:after="0" w:line="276" w:lineRule="auto"/>
        <w:jc w:val="both"/>
        <w:rPr>
          <w:rFonts w:ascii="Bookman Old Style" w:eastAsia="Times New Roman" w:hAnsi="Bookman Old Style" w:cs="Times New Roman"/>
          <w:sz w:val="24"/>
          <w:szCs w:val="24"/>
        </w:rPr>
      </w:pPr>
    </w:p>
    <w:p w14:paraId="0937ADE9"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En lo referente a su contenido y alcance, es preciso atender a las disposiciones contempladas en la Observación General No. 12 del Comité de Derechos Económicos, Sociales y Culturales de las Naciones Unidas. Así pues, dicho Comité de expertos ha resaltado que el Derecho Humano a la alimentación adecuada se encuentra intrínsecamente relacionado con la dignidad humana y resulta ser un presupuesto indispensable para el goce efectivo de cualquier otro Derecho. De la misma forma, ha establecido que existe una conexidad entre el mismo y con los postulados inherentes a la justicia social, en tanto requiere la adopción de políticas de índole económico, social y ambiental adecuadas que permitan su garantía y, de paso, implementar políticas públicas tendientes a la erradicación de la pobreza y la efectiva realización de otros derechos.</w:t>
      </w:r>
    </w:p>
    <w:p w14:paraId="38178C2D"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p>
    <w:p w14:paraId="7A696D97"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En lo referente al contenido sustancial del mentado derecho, el mismo ha sido entendido por parte del Comité como:</w:t>
      </w:r>
    </w:p>
    <w:p w14:paraId="399E327E"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p>
    <w:p w14:paraId="0503D056" w14:textId="77777777" w:rsidR="003F7E77" w:rsidRPr="001A7C74" w:rsidRDefault="003F7E77" w:rsidP="003F7E77">
      <w:pPr>
        <w:spacing w:after="0" w:line="276" w:lineRule="auto"/>
        <w:ind w:left="708"/>
        <w:jc w:val="both"/>
        <w:rPr>
          <w:rFonts w:ascii="Bookman Old Style" w:eastAsia="Times New Roman" w:hAnsi="Bookman Old Style" w:cs="Times New Roman"/>
          <w:i/>
          <w:sz w:val="24"/>
          <w:szCs w:val="24"/>
        </w:rPr>
      </w:pPr>
      <w:r w:rsidRPr="001A7C74">
        <w:rPr>
          <w:rFonts w:ascii="Bookman Old Style" w:eastAsia="Times New Roman" w:hAnsi="Bookman Old Style" w:cs="Times New Roman"/>
          <w:i/>
          <w:sz w:val="24"/>
          <w:szCs w:val="24"/>
        </w:rPr>
        <w:t>“El derecho a la alimentación adecuada se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r w:rsidRPr="001A7C74">
        <w:rPr>
          <w:rFonts w:ascii="Bookman Old Style" w:eastAsia="Times New Roman" w:hAnsi="Bookman Old Style" w:cs="Times New Roman"/>
          <w:i/>
          <w:sz w:val="24"/>
          <w:szCs w:val="24"/>
          <w:vertAlign w:val="superscript"/>
        </w:rPr>
        <w:footnoteReference w:id="26"/>
      </w:r>
    </w:p>
    <w:p w14:paraId="7E5C2E6F" w14:textId="77777777" w:rsidR="003F7E77" w:rsidRPr="001A7C74" w:rsidRDefault="003F7E77" w:rsidP="003F7E77">
      <w:pPr>
        <w:spacing w:after="0" w:line="276" w:lineRule="auto"/>
        <w:ind w:left="708"/>
        <w:jc w:val="both"/>
        <w:rPr>
          <w:rFonts w:ascii="Bookman Old Style" w:eastAsia="Times New Roman" w:hAnsi="Bookman Old Style" w:cs="Times New Roman"/>
          <w:i/>
          <w:sz w:val="24"/>
          <w:szCs w:val="24"/>
        </w:rPr>
      </w:pPr>
    </w:p>
    <w:p w14:paraId="316E4532"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lastRenderedPageBreak/>
        <w:t>De la misma manera, el Relator Especial de las Naciones Unidas sobre el Derecho a la alimentación ha contribuido a la definición sustantiva de dicho derecho, estableciendo que el mismo consiste en:</w:t>
      </w:r>
    </w:p>
    <w:p w14:paraId="6E616627"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p>
    <w:p w14:paraId="2998E1F4" w14:textId="77777777" w:rsidR="003F7E77" w:rsidRPr="001A7C74" w:rsidRDefault="003F7E77" w:rsidP="003F7E77">
      <w:pPr>
        <w:widowControl w:val="0"/>
        <w:spacing w:after="0" w:line="276" w:lineRule="auto"/>
        <w:ind w:left="708"/>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w:t>
      </w:r>
      <w:r w:rsidRPr="001A7C74">
        <w:rPr>
          <w:rFonts w:ascii="Bookman Old Style" w:eastAsia="Times New Roman" w:hAnsi="Bookman Old Style" w:cs="Times New Roman"/>
          <w:i/>
          <w:sz w:val="24"/>
          <w:szCs w:val="24"/>
        </w:rPr>
        <w:t>El derecho a tener acceso, de manera regular, permanente y libre, sea directamente, sea mediante compra en dinero, a una alimentación cuantitativa y cualitativamente adecuada y suficiente, que corresponda a las tradiciones culturales de la población a que pertenece el consumidor y que garantice una vida psíquica y física, individual y colectiva, libre de angustias, satisfactoria y digna.</w:t>
      </w:r>
      <w:r w:rsidRPr="001A7C74">
        <w:rPr>
          <w:rFonts w:ascii="Bookman Old Style" w:eastAsia="Times New Roman" w:hAnsi="Bookman Old Style" w:cs="Times New Roman"/>
          <w:sz w:val="24"/>
          <w:szCs w:val="24"/>
        </w:rPr>
        <w:t>”</w:t>
      </w:r>
      <w:r w:rsidRPr="001A7C74">
        <w:rPr>
          <w:rFonts w:ascii="Bookman Old Style" w:eastAsia="Times New Roman" w:hAnsi="Bookman Old Style" w:cs="Times New Roman"/>
          <w:sz w:val="24"/>
          <w:szCs w:val="24"/>
          <w:vertAlign w:val="superscript"/>
        </w:rPr>
        <w:footnoteReference w:id="27"/>
      </w:r>
    </w:p>
    <w:p w14:paraId="692103D0" w14:textId="77777777" w:rsidR="003F7E77" w:rsidRPr="001A7C74" w:rsidRDefault="003F7E77" w:rsidP="003F7E77">
      <w:pPr>
        <w:widowControl w:val="0"/>
        <w:spacing w:after="0" w:line="276" w:lineRule="auto"/>
        <w:ind w:left="708"/>
        <w:jc w:val="both"/>
        <w:rPr>
          <w:rFonts w:ascii="Bookman Old Style" w:eastAsia="Times New Roman" w:hAnsi="Bookman Old Style" w:cs="Times New Roman"/>
          <w:sz w:val="24"/>
          <w:szCs w:val="24"/>
        </w:rPr>
      </w:pPr>
    </w:p>
    <w:p w14:paraId="329C28EA"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 xml:space="preserve">Al respecto, surgen ciertos conceptos que resultan destacables con respecto al derecho a la alimentación, a saber: </w:t>
      </w:r>
      <w:r w:rsidRPr="001A7C74">
        <w:rPr>
          <w:rFonts w:ascii="Bookman Old Style" w:eastAsia="Times New Roman" w:hAnsi="Bookman Old Style" w:cs="Times New Roman"/>
          <w:b/>
          <w:sz w:val="24"/>
          <w:szCs w:val="24"/>
        </w:rPr>
        <w:t>disponibilidad, accesibilidad y adecuación</w:t>
      </w:r>
      <w:r w:rsidRPr="001A7C74">
        <w:rPr>
          <w:rFonts w:ascii="Bookman Old Style" w:eastAsia="Times New Roman" w:hAnsi="Bookman Old Style" w:cs="Times New Roman"/>
          <w:sz w:val="24"/>
          <w:szCs w:val="24"/>
        </w:rPr>
        <w:t xml:space="preserve">. </w:t>
      </w:r>
    </w:p>
    <w:p w14:paraId="2BDA777E"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p>
    <w:p w14:paraId="7726F87C"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 xml:space="preserve">Por disponible, debe entenderse que el alimento pueda ser obtenido ya a través de la producción de alimentos, el cultivo de la tierra y/o la ganadería, la caza o la recolección, y que también se encuentre disponible para su venta y acceso en mercados y comercio. Este concepto ha sido en parte desarrollado en el Plan Nacional de Seguridad Alimentaria y Nutricional 2012 – 2019 (PNSAN), en donde se entiende por disponible como </w:t>
      </w:r>
      <w:r w:rsidRPr="001A7C74">
        <w:rPr>
          <w:rFonts w:ascii="Bookman Old Style" w:eastAsia="Times New Roman" w:hAnsi="Bookman Old Style" w:cs="Times New Roman"/>
          <w:i/>
          <w:sz w:val="24"/>
          <w:szCs w:val="24"/>
        </w:rPr>
        <w:t xml:space="preserve">“la cantidad de alimentos con que se cuenta a nivel nacional, regional y local; </w:t>
      </w:r>
      <w:r w:rsidRPr="001A7C74">
        <w:rPr>
          <w:rFonts w:ascii="Bookman Old Style" w:eastAsia="Times New Roman" w:hAnsi="Bookman Old Style" w:cs="Times New Roman"/>
          <w:sz w:val="24"/>
          <w:szCs w:val="24"/>
        </w:rPr>
        <w:t xml:space="preserve">(y) </w:t>
      </w:r>
      <w:r w:rsidRPr="001A7C74">
        <w:rPr>
          <w:rFonts w:ascii="Bookman Old Style" w:eastAsia="Times New Roman" w:hAnsi="Bookman Old Style" w:cs="Times New Roman"/>
          <w:i/>
          <w:sz w:val="24"/>
          <w:szCs w:val="24"/>
        </w:rPr>
        <w:t>está relacionada con el suministro suficiente de estos frente a los requerimientos de la población y depende fundamentalmente de la producción y la importación. Está determinada por: La estructura productiva (agropecuaria, agroindustrial); los sistemas de comercialización y distribución internos y externos; los factores productivos (tierra, financiamiento, agua, tecnología, recurso humano); las condiciones ecosistémicas (clima, recursos genéticos y biodiversidad); las políticas de producción y comercio; y el conflicto sociopolítico (relaciones económicas, sociales y políticas entre actores).</w:t>
      </w:r>
      <w:r w:rsidRPr="001A7C74">
        <w:rPr>
          <w:rFonts w:ascii="Bookman Old Style" w:eastAsia="Times New Roman" w:hAnsi="Bookman Old Style" w:cs="Times New Roman"/>
          <w:sz w:val="24"/>
          <w:szCs w:val="24"/>
        </w:rPr>
        <w:t xml:space="preserve">” </w:t>
      </w:r>
    </w:p>
    <w:p w14:paraId="2D17937A"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p>
    <w:p w14:paraId="7C816E7B"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 xml:space="preserve">Del mismo modo, el alimento debe ser </w:t>
      </w:r>
      <w:r w:rsidRPr="001A7C74">
        <w:rPr>
          <w:rFonts w:ascii="Bookman Old Style" w:eastAsia="Times New Roman" w:hAnsi="Bookman Old Style" w:cs="Times New Roman"/>
          <w:b/>
          <w:sz w:val="24"/>
          <w:szCs w:val="24"/>
        </w:rPr>
        <w:t>accesible</w:t>
      </w:r>
      <w:r w:rsidRPr="001A7C74">
        <w:rPr>
          <w:rFonts w:ascii="Bookman Old Style" w:eastAsia="Times New Roman" w:hAnsi="Bookman Old Style" w:cs="Times New Roman"/>
          <w:sz w:val="24"/>
          <w:szCs w:val="24"/>
        </w:rPr>
        <w:t xml:space="preserve">, ya en el plano económico como en el plano físico. En cuanto a la accesibilidad económica, dicho aspecto hace referencia a que debe garantizarse que las personas se encuentren en condiciones adecuadas de permitirse la adquisición de los </w:t>
      </w:r>
      <w:r w:rsidRPr="001A7C74">
        <w:rPr>
          <w:rFonts w:ascii="Bookman Old Style" w:eastAsia="Times New Roman" w:hAnsi="Bookman Old Style" w:cs="Times New Roman"/>
          <w:sz w:val="24"/>
          <w:szCs w:val="24"/>
        </w:rPr>
        <w:lastRenderedPageBreak/>
        <w:t>alimentos sin perjuicio de otras erogaciones que resulten necesarias para atender necesidades básicas. En cuanto a la accesibilidad física, dicho criterio hace referencia a que los alimentos deben ser accesibles de manera universal y prestando especial atención a aquellas comunidades y ciudadanos que se encuentran en situaciones de vulnerabilidad. Al respecto, el PNSAN 2012 – 2019 ha dispuesto que debe entenderse por acceso como “</w:t>
      </w:r>
      <w:r w:rsidRPr="001A7C74">
        <w:rPr>
          <w:rFonts w:ascii="Bookman Old Style" w:eastAsia="Times New Roman" w:hAnsi="Bookman Old Style" w:cs="Times New Roman"/>
          <w:i/>
          <w:sz w:val="24"/>
          <w:szCs w:val="24"/>
        </w:rPr>
        <w:t>la posibilidad de todas las personas de alcanzar una alimentación adecuada y sostenible. Se refiere a los alimentos que puede obtener o comprar una familia, comunidad o país. Sus determinantes básicos son: Nivel y distribución de ingresos (monetarios y no monetarios) y los precios de los alimentos.</w:t>
      </w:r>
      <w:r w:rsidRPr="001A7C74">
        <w:rPr>
          <w:rFonts w:ascii="Bookman Old Style" w:eastAsia="Times New Roman" w:hAnsi="Bookman Old Style" w:cs="Times New Roman"/>
          <w:sz w:val="24"/>
          <w:szCs w:val="24"/>
        </w:rPr>
        <w:t>”</w:t>
      </w:r>
    </w:p>
    <w:p w14:paraId="0C78699C"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Por último, el alimento debe ser adecuado. Dicho criterio se refiere a que la alimentación debe satisfacer las necesidades básicas de dieta teniendo en cuenta la condición de la persona. Dentro de dicho criterio se contemplan también la necesidad de garantizar que los alimentos sean seguros para el consumo humano, es decir, que se encuentren libres de sustancias nocivas y/o contaminantes que puedan atentar contra la salud humana. También se encuentra contemplado el concepto de alimento culturalmente aceptable, el cual se refiere a la necesidad de que los alimentos que se provean no se encuentren proscritos por las tradiciones ni los valores culturales o religiosos de las comunidades. Respecto a este criterio establecido como fundamental por la doctrina internacional, el PNSAN 2012 – 2019 no hace ninguna referencia explícita respecto al mismo, aunque se hacen tangenciales referencias al mismo dentro de los criterios previamente mencionados.</w:t>
      </w:r>
    </w:p>
    <w:p w14:paraId="02784225"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p>
    <w:p w14:paraId="5A8E28F5"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Respecto a las obligaciones que impone el derecho a la alimentación adecuada a los Estados, las cuales fueron esbozadas anteriormente, es preciso desarrollar. Así pues, es preciso entonces acudir nuevamente a lo estipulado en la Observación General No. 12, el cual establece que:</w:t>
      </w:r>
    </w:p>
    <w:p w14:paraId="1AC61C98" w14:textId="77777777" w:rsidR="003F7E77" w:rsidRPr="001A7C74" w:rsidRDefault="003F7E77" w:rsidP="003F7E77">
      <w:pPr>
        <w:spacing w:after="0" w:line="276" w:lineRule="auto"/>
        <w:jc w:val="both"/>
        <w:rPr>
          <w:rFonts w:ascii="Bookman Old Style" w:eastAsia="Times New Roman" w:hAnsi="Bookman Old Style" w:cs="Times New Roman"/>
          <w:sz w:val="24"/>
          <w:szCs w:val="24"/>
        </w:rPr>
      </w:pPr>
    </w:p>
    <w:p w14:paraId="3D43B8AE" w14:textId="77777777" w:rsidR="003F7E77" w:rsidRPr="001A7C74" w:rsidRDefault="003F7E77" w:rsidP="003F7E77">
      <w:pPr>
        <w:widowControl w:val="0"/>
        <w:spacing w:after="0" w:line="276" w:lineRule="auto"/>
        <w:ind w:left="708"/>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w:t>
      </w:r>
      <w:r w:rsidRPr="001A7C74">
        <w:rPr>
          <w:rFonts w:ascii="Bookman Old Style" w:eastAsia="Times New Roman" w:hAnsi="Bookman Old Style" w:cs="Times New Roman"/>
          <w:i/>
          <w:sz w:val="24"/>
          <w:szCs w:val="24"/>
        </w:rPr>
        <w:t xml:space="preserve">El derecho a la alimentación adecuada, al igual que cualquier otro derecho humano, impone tres tipos o niveles de obligaciones a los Estados Partes: las obligaciones de </w:t>
      </w:r>
      <w:r w:rsidRPr="001A7C74">
        <w:rPr>
          <w:rFonts w:ascii="Bookman Old Style" w:eastAsia="Times New Roman" w:hAnsi="Bookman Old Style" w:cs="Times New Roman"/>
          <w:b/>
          <w:i/>
          <w:sz w:val="24"/>
          <w:szCs w:val="24"/>
        </w:rPr>
        <w:t>respetar, proteger y realizar</w:t>
      </w:r>
      <w:r w:rsidRPr="001A7C74">
        <w:rPr>
          <w:rFonts w:ascii="Bookman Old Style" w:eastAsia="Times New Roman" w:hAnsi="Bookman Old Style" w:cs="Times New Roman"/>
          <w:i/>
          <w:sz w:val="24"/>
          <w:szCs w:val="24"/>
        </w:rPr>
        <w:t xml:space="preserve">. A su vez, la obligación de realizar entraña tanto la obligación de facilitar como la obligación de hacer efectivo. La obligación de respetar el acceso existente a una alimentación adecuada requiere que los Estados no </w:t>
      </w:r>
      <w:r w:rsidRPr="001A7C74">
        <w:rPr>
          <w:rFonts w:ascii="Bookman Old Style" w:eastAsia="Times New Roman" w:hAnsi="Bookman Old Style" w:cs="Times New Roman"/>
          <w:i/>
          <w:sz w:val="24"/>
          <w:szCs w:val="24"/>
        </w:rPr>
        <w:lastRenderedPageBreak/>
        <w:t>adopten medidas de ningún tipo que tengan por resultado impedir ese acceso. La obligación de proteger requiere que el Estado Parte adopte medidas para velar por que las empresas o los particulares no priven a las personas del acceso a una alimentación adecuada. La obligación de realizar (facilitar) significa que el Estado debe procurar iniciar actividades con el fin de fortalecer el acceso y la utilización por parte de la población de los recursos y medios que aseguren sus medios de vida, incluida la seguridad alimentaria. Por último, cuando un individuo o un grupo sea incapaz, por razones que escapen a su control, de disfrutar el derecho a una alimentación adecuada por los medios a su alcance, los Estados tienen la obligación de realizar (hacer efectivo) ese derecho directamente. Esta obligación también se aplica a las personas que son víctimas de catástrofes naturales o de otra índole.</w:t>
      </w:r>
      <w:r w:rsidRPr="001A7C74">
        <w:rPr>
          <w:rFonts w:ascii="Bookman Old Style" w:eastAsia="Times New Roman" w:hAnsi="Bookman Old Style" w:cs="Times New Roman"/>
          <w:sz w:val="24"/>
          <w:szCs w:val="24"/>
        </w:rPr>
        <w:t>”</w:t>
      </w:r>
      <w:r w:rsidRPr="001A7C74">
        <w:rPr>
          <w:rFonts w:ascii="Bookman Old Style" w:eastAsia="Times New Roman" w:hAnsi="Bookman Old Style" w:cs="Times New Roman"/>
          <w:sz w:val="24"/>
          <w:szCs w:val="24"/>
          <w:vertAlign w:val="superscript"/>
        </w:rPr>
        <w:footnoteReference w:id="28"/>
      </w:r>
      <w:r w:rsidRPr="001A7C74">
        <w:rPr>
          <w:rFonts w:ascii="Bookman Old Style" w:eastAsia="Times New Roman" w:hAnsi="Bookman Old Style" w:cs="Times New Roman"/>
          <w:sz w:val="24"/>
          <w:szCs w:val="24"/>
        </w:rPr>
        <w:t xml:space="preserve"> (se resalta)</w:t>
      </w:r>
    </w:p>
    <w:p w14:paraId="6A10AD4C" w14:textId="77777777" w:rsidR="003F7E77" w:rsidRPr="001A7C74" w:rsidRDefault="003F7E77" w:rsidP="003F7E77">
      <w:pPr>
        <w:widowControl w:val="0"/>
        <w:spacing w:after="0" w:line="276" w:lineRule="auto"/>
        <w:jc w:val="both"/>
        <w:rPr>
          <w:rFonts w:ascii="Bookman Old Style" w:eastAsia="Times New Roman" w:hAnsi="Bookman Old Style" w:cs="Times New Roman"/>
          <w:sz w:val="24"/>
          <w:szCs w:val="24"/>
        </w:rPr>
      </w:pPr>
    </w:p>
    <w:p w14:paraId="1CD51E65" w14:textId="77777777" w:rsidR="003F7E77" w:rsidRPr="001A7C74" w:rsidRDefault="003F7E77" w:rsidP="003F7E77">
      <w:pPr>
        <w:widowControl w:val="0"/>
        <w:numPr>
          <w:ilvl w:val="0"/>
          <w:numId w:val="4"/>
        </w:numPr>
        <w:spacing w:after="0" w:line="276" w:lineRule="auto"/>
        <w:jc w:val="both"/>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 xml:space="preserve"> Consideraciones frente a la exigibilidad del derecho en los términos planteados en el proyecto</w:t>
      </w:r>
    </w:p>
    <w:p w14:paraId="36FBBDBE" w14:textId="77777777" w:rsidR="003F7E77" w:rsidRPr="001A7C74" w:rsidRDefault="003F7E77" w:rsidP="003F7E77">
      <w:pPr>
        <w:widowControl w:val="0"/>
        <w:spacing w:after="0" w:line="276" w:lineRule="auto"/>
        <w:jc w:val="both"/>
        <w:rPr>
          <w:rFonts w:ascii="Bookman Old Style" w:eastAsia="Times New Roman" w:hAnsi="Bookman Old Style" w:cs="Times New Roman"/>
          <w:sz w:val="24"/>
          <w:szCs w:val="24"/>
        </w:rPr>
      </w:pPr>
    </w:p>
    <w:p w14:paraId="72AAEC93" w14:textId="77777777" w:rsidR="003F7E77" w:rsidRPr="001A7C74" w:rsidRDefault="003F7E77" w:rsidP="003F7E77">
      <w:pPr>
        <w:widowControl w:val="0"/>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En lo que respecta a la exigibilidad del derecho, en los términos que se plantean en el articulado, se ha reconocido que los medios para garantizar el mentado derecho variarán de manera inevitable y considerable de un Estado Parte a otro. En virtud de lo anterior, existe una libertad de aproximación y enfoques al momento de formular políticas públicas que estén destinadas a cumplir con las obligaciones que se encuentran contempladas en el artículo 11 del Pacto Internacional de Derechos Económicos, Sociales y Culturales</w:t>
      </w:r>
      <w:r w:rsidRPr="001A7C74">
        <w:rPr>
          <w:rFonts w:ascii="Bookman Old Style" w:eastAsia="Times New Roman" w:hAnsi="Bookman Old Style" w:cs="Times New Roman"/>
          <w:sz w:val="24"/>
          <w:szCs w:val="24"/>
          <w:vertAlign w:val="superscript"/>
        </w:rPr>
        <w:footnoteReference w:id="29"/>
      </w:r>
      <w:r w:rsidRPr="001A7C74">
        <w:rPr>
          <w:rFonts w:ascii="Bookman Old Style" w:eastAsia="Times New Roman" w:hAnsi="Bookman Old Style" w:cs="Times New Roman"/>
          <w:sz w:val="24"/>
          <w:szCs w:val="24"/>
        </w:rPr>
        <w:t>, cuya realización en sí (salvo en aquellos casos en los cuales se vean involucrados Niños, Niñas y Adolescentes) se debe materializar de manera progresiva, conforme a la disponibilidad presupuestal de los Estados.</w:t>
      </w:r>
    </w:p>
    <w:p w14:paraId="2242B957" w14:textId="77777777" w:rsidR="003F7E77" w:rsidRPr="001A7C74" w:rsidRDefault="003F7E77" w:rsidP="003F7E77">
      <w:pPr>
        <w:widowControl w:val="0"/>
        <w:spacing w:after="0" w:line="276" w:lineRule="auto"/>
        <w:jc w:val="both"/>
        <w:rPr>
          <w:rFonts w:ascii="Bookman Old Style" w:eastAsia="Times New Roman" w:hAnsi="Bookman Old Style" w:cs="Times New Roman"/>
          <w:sz w:val="24"/>
          <w:szCs w:val="24"/>
        </w:rPr>
      </w:pPr>
    </w:p>
    <w:p w14:paraId="74CD14D8" w14:textId="77777777" w:rsidR="003F7E77" w:rsidRPr="001A7C74" w:rsidRDefault="003F7E77" w:rsidP="003F7E77">
      <w:pPr>
        <w:widowControl w:val="0"/>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En ese sentido, resulta necesario traer a colación lo dispuesto por el economista y premio Nobel de economía Amartya Sen en su escrito “</w:t>
      </w:r>
      <w:proofErr w:type="spellStart"/>
      <w:r w:rsidRPr="001A7C74">
        <w:rPr>
          <w:rFonts w:ascii="Bookman Old Style" w:eastAsia="Times New Roman" w:hAnsi="Bookman Old Style" w:cs="Times New Roman"/>
          <w:i/>
          <w:sz w:val="24"/>
          <w:szCs w:val="24"/>
        </w:rPr>
        <w:t>The</w:t>
      </w:r>
      <w:proofErr w:type="spellEnd"/>
      <w:r w:rsidRPr="001A7C74">
        <w:rPr>
          <w:rFonts w:ascii="Bookman Old Style" w:eastAsia="Times New Roman" w:hAnsi="Bookman Old Style" w:cs="Times New Roman"/>
          <w:i/>
          <w:sz w:val="24"/>
          <w:szCs w:val="24"/>
        </w:rPr>
        <w:t xml:space="preserve"> </w:t>
      </w:r>
      <w:proofErr w:type="spellStart"/>
      <w:r w:rsidRPr="001A7C74">
        <w:rPr>
          <w:rFonts w:ascii="Bookman Old Style" w:eastAsia="Times New Roman" w:hAnsi="Bookman Old Style" w:cs="Times New Roman"/>
          <w:i/>
          <w:sz w:val="24"/>
          <w:szCs w:val="24"/>
        </w:rPr>
        <w:t>right</w:t>
      </w:r>
      <w:proofErr w:type="spellEnd"/>
      <w:r w:rsidRPr="001A7C74">
        <w:rPr>
          <w:rFonts w:ascii="Bookman Old Style" w:eastAsia="Times New Roman" w:hAnsi="Bookman Old Style" w:cs="Times New Roman"/>
          <w:i/>
          <w:sz w:val="24"/>
          <w:szCs w:val="24"/>
        </w:rPr>
        <w:t xml:space="preserve"> </w:t>
      </w:r>
      <w:proofErr w:type="spellStart"/>
      <w:r w:rsidRPr="001A7C74">
        <w:rPr>
          <w:rFonts w:ascii="Bookman Old Style" w:eastAsia="Times New Roman" w:hAnsi="Bookman Old Style" w:cs="Times New Roman"/>
          <w:i/>
          <w:sz w:val="24"/>
          <w:szCs w:val="24"/>
        </w:rPr>
        <w:t>not</w:t>
      </w:r>
      <w:proofErr w:type="spellEnd"/>
      <w:r w:rsidRPr="001A7C74">
        <w:rPr>
          <w:rFonts w:ascii="Bookman Old Style" w:eastAsia="Times New Roman" w:hAnsi="Bookman Old Style" w:cs="Times New Roman"/>
          <w:i/>
          <w:sz w:val="24"/>
          <w:szCs w:val="24"/>
        </w:rPr>
        <w:t xml:space="preserve"> </w:t>
      </w:r>
      <w:proofErr w:type="spellStart"/>
      <w:r w:rsidRPr="001A7C74">
        <w:rPr>
          <w:rFonts w:ascii="Bookman Old Style" w:eastAsia="Times New Roman" w:hAnsi="Bookman Old Style" w:cs="Times New Roman"/>
          <w:i/>
          <w:sz w:val="24"/>
          <w:szCs w:val="24"/>
        </w:rPr>
        <w:t>to</w:t>
      </w:r>
      <w:proofErr w:type="spellEnd"/>
      <w:r w:rsidRPr="001A7C74">
        <w:rPr>
          <w:rFonts w:ascii="Bookman Old Style" w:eastAsia="Times New Roman" w:hAnsi="Bookman Old Style" w:cs="Times New Roman"/>
          <w:i/>
          <w:sz w:val="24"/>
          <w:szCs w:val="24"/>
        </w:rPr>
        <w:t xml:space="preserve"> be </w:t>
      </w:r>
      <w:proofErr w:type="spellStart"/>
      <w:r w:rsidRPr="001A7C74">
        <w:rPr>
          <w:rFonts w:ascii="Bookman Old Style" w:eastAsia="Times New Roman" w:hAnsi="Bookman Old Style" w:cs="Times New Roman"/>
          <w:i/>
          <w:sz w:val="24"/>
          <w:szCs w:val="24"/>
        </w:rPr>
        <w:t>hungry</w:t>
      </w:r>
      <w:proofErr w:type="spellEnd"/>
      <w:r w:rsidRPr="001A7C74">
        <w:rPr>
          <w:rFonts w:ascii="Bookman Old Style" w:eastAsia="Times New Roman" w:hAnsi="Bookman Old Style" w:cs="Times New Roman"/>
          <w:sz w:val="24"/>
          <w:szCs w:val="24"/>
        </w:rPr>
        <w:t xml:space="preserve">” (1982) quien plantea la existencia de una nueva </w:t>
      </w:r>
      <w:r w:rsidRPr="001A7C74">
        <w:rPr>
          <w:rFonts w:ascii="Bookman Old Style" w:eastAsia="Times New Roman" w:hAnsi="Bookman Old Style" w:cs="Times New Roman"/>
          <w:sz w:val="24"/>
          <w:szCs w:val="24"/>
        </w:rPr>
        <w:lastRenderedPageBreak/>
        <w:t>categoría de derechos que denomina “</w:t>
      </w:r>
      <w:proofErr w:type="spellStart"/>
      <w:r w:rsidRPr="001A7C74">
        <w:rPr>
          <w:rFonts w:ascii="Bookman Old Style" w:eastAsia="Times New Roman" w:hAnsi="Bookman Old Style" w:cs="Times New Roman"/>
          <w:sz w:val="24"/>
          <w:szCs w:val="24"/>
        </w:rPr>
        <w:t>metaderechos</w:t>
      </w:r>
      <w:proofErr w:type="spellEnd"/>
      <w:r w:rsidRPr="001A7C74">
        <w:rPr>
          <w:rFonts w:ascii="Bookman Old Style" w:eastAsia="Times New Roman" w:hAnsi="Bookman Old Style" w:cs="Times New Roman"/>
          <w:sz w:val="24"/>
          <w:szCs w:val="24"/>
        </w:rPr>
        <w:t>”. En ese sentido, Sen plantea que “</w:t>
      </w:r>
      <w:r w:rsidRPr="001A7C74">
        <w:rPr>
          <w:rFonts w:ascii="Bookman Old Style" w:eastAsia="Times New Roman" w:hAnsi="Bookman Old Style" w:cs="Times New Roman"/>
          <w:i/>
          <w:sz w:val="24"/>
          <w:szCs w:val="24"/>
        </w:rPr>
        <w:t xml:space="preserve">un </w:t>
      </w:r>
      <w:proofErr w:type="spellStart"/>
      <w:r w:rsidRPr="001A7C74">
        <w:rPr>
          <w:rFonts w:ascii="Bookman Old Style" w:eastAsia="Times New Roman" w:hAnsi="Bookman Old Style" w:cs="Times New Roman"/>
          <w:i/>
          <w:sz w:val="24"/>
          <w:szCs w:val="24"/>
        </w:rPr>
        <w:t>metaderecho</w:t>
      </w:r>
      <w:proofErr w:type="spellEnd"/>
      <w:r w:rsidRPr="001A7C74">
        <w:rPr>
          <w:rFonts w:ascii="Bookman Old Style" w:eastAsia="Times New Roman" w:hAnsi="Bookman Old Style" w:cs="Times New Roman"/>
          <w:i/>
          <w:sz w:val="24"/>
          <w:szCs w:val="24"/>
        </w:rPr>
        <w:t xml:space="preserve"> a algo x puede ser definido como el derecho a tener políticas p(x) que persigan genuinamente el objetivo de hacer realizable el derecho a x</w:t>
      </w:r>
      <w:r w:rsidRPr="001A7C74">
        <w:rPr>
          <w:rFonts w:ascii="Bookman Old Style" w:eastAsia="Times New Roman" w:hAnsi="Bookman Old Style" w:cs="Times New Roman"/>
          <w:sz w:val="24"/>
          <w:szCs w:val="24"/>
        </w:rPr>
        <w:t>”</w:t>
      </w:r>
      <w:r w:rsidRPr="001A7C74">
        <w:rPr>
          <w:rFonts w:ascii="Bookman Old Style" w:eastAsia="Times New Roman" w:hAnsi="Bookman Old Style" w:cs="Times New Roman"/>
          <w:sz w:val="24"/>
          <w:szCs w:val="24"/>
          <w:vertAlign w:val="superscript"/>
        </w:rPr>
        <w:footnoteReference w:id="30"/>
      </w:r>
      <w:r w:rsidRPr="001A7C74">
        <w:rPr>
          <w:rFonts w:ascii="Bookman Old Style" w:eastAsia="Times New Roman" w:hAnsi="Bookman Old Style" w:cs="Times New Roman"/>
          <w:sz w:val="24"/>
          <w:szCs w:val="24"/>
        </w:rPr>
        <w:t xml:space="preserve"> Con el propósito de ejemplificar su afirmación, el autor plantea un ejemplo de la Constitución de la India en donde claramente se esboza una redacción “</w:t>
      </w:r>
      <w:r w:rsidRPr="001A7C74">
        <w:rPr>
          <w:rFonts w:ascii="Bookman Old Style" w:eastAsia="Times New Roman" w:hAnsi="Bookman Old Style" w:cs="Times New Roman"/>
          <w:i/>
          <w:sz w:val="24"/>
          <w:szCs w:val="24"/>
        </w:rPr>
        <w:t xml:space="preserve">suficientemente cuidadosa para evitar aseverar que tal derecho existe de antemano </w:t>
      </w:r>
      <w:r w:rsidRPr="001A7C74">
        <w:rPr>
          <w:rFonts w:ascii="Bookman Old Style" w:eastAsia="Times New Roman" w:hAnsi="Bookman Old Style" w:cs="Times New Roman"/>
          <w:sz w:val="24"/>
          <w:szCs w:val="24"/>
        </w:rPr>
        <w:t xml:space="preserve">(pese a que es deseable su existencia y puede argumentarse desde el ámbito de la conexidad con Derechos Fundamentales de corte no prestacional), </w:t>
      </w:r>
      <w:r w:rsidRPr="001A7C74">
        <w:rPr>
          <w:rFonts w:ascii="Bookman Old Style" w:eastAsia="Times New Roman" w:hAnsi="Bookman Old Style" w:cs="Times New Roman"/>
          <w:i/>
          <w:sz w:val="24"/>
          <w:szCs w:val="24"/>
        </w:rPr>
        <w:t>al decir que tan solo las políticas deben ser dirigidas a hacer posible tener medios adecuados para la realización del fin</w:t>
      </w:r>
      <w:r w:rsidRPr="001A7C74">
        <w:rPr>
          <w:rFonts w:ascii="Bookman Old Style" w:eastAsia="Times New Roman" w:hAnsi="Bookman Old Style" w:cs="Times New Roman"/>
          <w:sz w:val="24"/>
          <w:szCs w:val="24"/>
        </w:rPr>
        <w:t>”</w:t>
      </w:r>
      <w:r w:rsidRPr="001A7C74">
        <w:rPr>
          <w:rFonts w:ascii="Bookman Old Style" w:eastAsia="Times New Roman" w:hAnsi="Bookman Old Style" w:cs="Times New Roman"/>
          <w:sz w:val="24"/>
          <w:szCs w:val="24"/>
          <w:vertAlign w:val="superscript"/>
        </w:rPr>
        <w:footnoteReference w:id="31"/>
      </w:r>
    </w:p>
    <w:p w14:paraId="7AA5A54A" w14:textId="77777777" w:rsidR="003F7E77" w:rsidRPr="001A7C74" w:rsidRDefault="003F7E77" w:rsidP="003F7E77">
      <w:pPr>
        <w:widowControl w:val="0"/>
        <w:spacing w:after="0" w:line="276" w:lineRule="auto"/>
        <w:jc w:val="both"/>
        <w:rPr>
          <w:rFonts w:ascii="Bookman Old Style" w:eastAsia="Times New Roman" w:hAnsi="Bookman Old Style" w:cs="Times New Roman"/>
          <w:sz w:val="24"/>
          <w:szCs w:val="24"/>
        </w:rPr>
      </w:pPr>
    </w:p>
    <w:p w14:paraId="3FC30DC8" w14:textId="77777777" w:rsidR="003F7E77" w:rsidRPr="001A7C74" w:rsidRDefault="003F7E77" w:rsidP="003F7E77">
      <w:pPr>
        <w:widowControl w:val="0"/>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 xml:space="preserve">El eje central de la teoría esbozada por Sen parte de una sencilla premisa: la redacción consignada, de ser aceptada y positivizada en el texto constitucional, plantea que tan solo se le otorgaría el reconocimiento y las herramientas para exigir al Gobierno el derecho a que se pongan en práctica las políticas (definidas por el autor como p(x)) y que sean conducentes para la realización y materialización del fin perseguido (definido como x por el Autor). </w:t>
      </w:r>
    </w:p>
    <w:p w14:paraId="38F47BE9" w14:textId="77777777" w:rsidR="003F7E77" w:rsidRPr="001A7C74" w:rsidRDefault="003F7E77" w:rsidP="003F7E77">
      <w:pPr>
        <w:widowControl w:val="0"/>
        <w:spacing w:after="0" w:line="276" w:lineRule="auto"/>
        <w:jc w:val="both"/>
        <w:rPr>
          <w:rFonts w:ascii="Bookman Old Style" w:eastAsia="Times New Roman" w:hAnsi="Bookman Old Style" w:cs="Times New Roman"/>
          <w:sz w:val="24"/>
          <w:szCs w:val="24"/>
        </w:rPr>
      </w:pPr>
    </w:p>
    <w:p w14:paraId="164273B6" w14:textId="77777777" w:rsidR="003F7E77" w:rsidRPr="001A7C74" w:rsidRDefault="003F7E77" w:rsidP="003F7E77">
      <w:pPr>
        <w:widowControl w:val="0"/>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En ese sentido, de acuerdo con Sen “</w:t>
      </w:r>
      <w:r w:rsidRPr="001A7C74">
        <w:rPr>
          <w:rFonts w:ascii="Bookman Old Style" w:eastAsia="Times New Roman" w:hAnsi="Bookman Old Style" w:cs="Times New Roman"/>
          <w:i/>
          <w:sz w:val="24"/>
          <w:szCs w:val="24"/>
        </w:rPr>
        <w:t xml:space="preserve">no resulta difícil observar por qué los </w:t>
      </w:r>
      <w:proofErr w:type="spellStart"/>
      <w:r w:rsidRPr="001A7C74">
        <w:rPr>
          <w:rFonts w:ascii="Bookman Old Style" w:eastAsia="Times New Roman" w:hAnsi="Bookman Old Style" w:cs="Times New Roman"/>
          <w:i/>
          <w:sz w:val="24"/>
          <w:szCs w:val="24"/>
        </w:rPr>
        <w:t>metaderechos</w:t>
      </w:r>
      <w:proofErr w:type="spellEnd"/>
      <w:r w:rsidRPr="001A7C74">
        <w:rPr>
          <w:rFonts w:ascii="Bookman Old Style" w:eastAsia="Times New Roman" w:hAnsi="Bookman Old Style" w:cs="Times New Roman"/>
          <w:i/>
          <w:sz w:val="24"/>
          <w:szCs w:val="24"/>
        </w:rPr>
        <w:t xml:space="preserve"> de este tipo tienen relevancia particular para objetivos económicos tales como la remoción de la pobreza o el hambre. En muchos países en donde </w:t>
      </w:r>
      <w:r w:rsidRPr="001A7C74">
        <w:rPr>
          <w:rFonts w:ascii="Bookman Old Style" w:eastAsia="Times New Roman" w:hAnsi="Bookman Old Style" w:cs="Times New Roman"/>
          <w:sz w:val="24"/>
          <w:szCs w:val="24"/>
        </w:rPr>
        <w:t xml:space="preserve">(estas dos situaciones) </w:t>
      </w:r>
      <w:r w:rsidRPr="001A7C74">
        <w:rPr>
          <w:rFonts w:ascii="Bookman Old Style" w:eastAsia="Times New Roman" w:hAnsi="Bookman Old Style" w:cs="Times New Roman"/>
          <w:i/>
          <w:sz w:val="24"/>
          <w:szCs w:val="24"/>
        </w:rPr>
        <w:t>están diseminados, puede que no exista ningún modo factible mediante el cual en un futuro cercano se le garantice a todos ser liberados de aquellas, pero sí políticas que rápidamente conducirán a tal liberación</w:t>
      </w:r>
      <w:r w:rsidRPr="001A7C74">
        <w:rPr>
          <w:rFonts w:ascii="Bookman Old Style" w:eastAsia="Times New Roman" w:hAnsi="Bookman Old Style" w:cs="Times New Roman"/>
          <w:sz w:val="24"/>
          <w:szCs w:val="24"/>
        </w:rPr>
        <w:t>.”</w:t>
      </w:r>
      <w:r w:rsidRPr="001A7C74">
        <w:rPr>
          <w:rFonts w:ascii="Bookman Old Style" w:eastAsia="Times New Roman" w:hAnsi="Bookman Old Style" w:cs="Times New Roman"/>
          <w:sz w:val="24"/>
          <w:szCs w:val="24"/>
          <w:vertAlign w:val="superscript"/>
        </w:rPr>
        <w:footnoteReference w:id="32"/>
      </w:r>
      <w:r w:rsidRPr="001A7C74">
        <w:rPr>
          <w:rFonts w:ascii="Bookman Old Style" w:eastAsia="Times New Roman" w:hAnsi="Bookman Old Style" w:cs="Times New Roman"/>
          <w:sz w:val="24"/>
          <w:szCs w:val="24"/>
        </w:rPr>
        <w:t xml:space="preserve"> Tomando en consideración el anterior panorama, se cree que establecer el </w:t>
      </w:r>
      <w:proofErr w:type="spellStart"/>
      <w:r w:rsidRPr="001A7C74">
        <w:rPr>
          <w:rFonts w:ascii="Bookman Old Style" w:eastAsia="Times New Roman" w:hAnsi="Bookman Old Style" w:cs="Times New Roman"/>
          <w:sz w:val="24"/>
          <w:szCs w:val="24"/>
        </w:rPr>
        <w:t>metaderecho</w:t>
      </w:r>
      <w:proofErr w:type="spellEnd"/>
      <w:r w:rsidRPr="001A7C74">
        <w:rPr>
          <w:rFonts w:ascii="Bookman Old Style" w:eastAsia="Times New Roman" w:hAnsi="Bookman Old Style" w:cs="Times New Roman"/>
          <w:sz w:val="24"/>
          <w:szCs w:val="24"/>
        </w:rPr>
        <w:t xml:space="preserve"> a ser liberado del hambre es el derecho no a la provisión y prestación permanente de los alimentos, sino a la acción, a exigirle al Estado que despliegue una serie de medidas y políticas públicas serias a través de las cuales se materialice el derecho-objetivo de contar con una población libre del flagelo del hambre.</w:t>
      </w:r>
    </w:p>
    <w:p w14:paraId="0E5DCD56" w14:textId="77777777" w:rsidR="003F7E77" w:rsidRPr="001A7C74" w:rsidRDefault="003F7E77" w:rsidP="003F7E77">
      <w:pPr>
        <w:widowControl w:val="0"/>
        <w:spacing w:after="0" w:line="276" w:lineRule="auto"/>
        <w:jc w:val="both"/>
        <w:rPr>
          <w:rFonts w:ascii="Bookman Old Style" w:eastAsia="Times New Roman" w:hAnsi="Bookman Old Style" w:cs="Times New Roman"/>
          <w:sz w:val="24"/>
          <w:szCs w:val="24"/>
        </w:rPr>
      </w:pPr>
    </w:p>
    <w:p w14:paraId="3F9B02E8" w14:textId="05DCCE93" w:rsidR="003F7E77" w:rsidRDefault="003F7E77" w:rsidP="003F7E77">
      <w:pPr>
        <w:widowControl w:val="0"/>
        <w:spacing w:after="0" w:line="276" w:lineRule="auto"/>
        <w:jc w:val="both"/>
        <w:rPr>
          <w:rFonts w:ascii="Bookman Old Style" w:eastAsia="Times New Roman" w:hAnsi="Bookman Old Style" w:cs="Times New Roman"/>
          <w:sz w:val="24"/>
          <w:szCs w:val="24"/>
        </w:rPr>
      </w:pPr>
      <w:r w:rsidRPr="001A7C74">
        <w:rPr>
          <w:rFonts w:ascii="Bookman Old Style" w:eastAsia="Times New Roman" w:hAnsi="Bookman Old Style" w:cs="Times New Roman"/>
          <w:sz w:val="24"/>
          <w:szCs w:val="24"/>
        </w:rPr>
        <w:t xml:space="preserve">Tomando en consideración la teoría expuesta por Sen, se establece una </w:t>
      </w:r>
      <w:r w:rsidRPr="001A7C74">
        <w:rPr>
          <w:rFonts w:ascii="Bookman Old Style" w:eastAsia="Times New Roman" w:hAnsi="Bookman Old Style" w:cs="Times New Roman"/>
          <w:sz w:val="24"/>
          <w:szCs w:val="24"/>
        </w:rPr>
        <w:lastRenderedPageBreak/>
        <w:t>redacción a través de la cual se positivice en la Constitución Política la obligación del Estado a actuar e implementar políticas públicas a través de las cuales se pueda llegar a garantizar de manera universal (aunque progresiva y conforme a la realidad económica del país) el derecho a la alimentación adecuada, a la seguridad y a la soberanía alimentaria.</w:t>
      </w:r>
    </w:p>
    <w:p w14:paraId="02ED9F6B" w14:textId="71098051" w:rsidR="00B53DEA" w:rsidRDefault="00B53DEA" w:rsidP="003F7E77">
      <w:pPr>
        <w:widowControl w:val="0"/>
        <w:spacing w:after="0" w:line="276" w:lineRule="auto"/>
        <w:jc w:val="both"/>
        <w:rPr>
          <w:rFonts w:ascii="Bookman Old Style" w:eastAsia="Times New Roman" w:hAnsi="Bookman Old Style" w:cs="Times New Roman"/>
          <w:sz w:val="24"/>
          <w:szCs w:val="24"/>
        </w:rPr>
      </w:pPr>
    </w:p>
    <w:p w14:paraId="7348B655" w14:textId="77777777" w:rsidR="00B53DEA" w:rsidRPr="00B53DEA" w:rsidRDefault="00B53DEA" w:rsidP="00B53DEA">
      <w:pPr>
        <w:widowControl w:val="0"/>
        <w:spacing w:after="0" w:line="276" w:lineRule="auto"/>
        <w:jc w:val="both"/>
        <w:rPr>
          <w:rFonts w:ascii="Bookman Old Style" w:eastAsia="Times New Roman" w:hAnsi="Bookman Old Style" w:cs="Times New Roman"/>
          <w:b/>
          <w:sz w:val="24"/>
          <w:szCs w:val="24"/>
        </w:rPr>
      </w:pPr>
      <w:r w:rsidRPr="00B53DEA">
        <w:rPr>
          <w:rFonts w:ascii="Bookman Old Style" w:eastAsia="Times New Roman" w:hAnsi="Bookman Old Style" w:cs="Times New Roman"/>
          <w:b/>
          <w:sz w:val="24"/>
          <w:szCs w:val="24"/>
        </w:rPr>
        <w:t>El derecho a estar protegido contra el hambre y la desnutrición en el derecho comparado</w:t>
      </w:r>
    </w:p>
    <w:p w14:paraId="4787CB45" w14:textId="77777777" w:rsidR="00B53DEA" w:rsidRPr="00B53DEA" w:rsidRDefault="00B53DEA" w:rsidP="00B53DEA">
      <w:pPr>
        <w:widowControl w:val="0"/>
        <w:spacing w:after="0"/>
        <w:ind w:left="360"/>
        <w:jc w:val="both"/>
        <w:rPr>
          <w:rFonts w:ascii="Bookman Old Style" w:eastAsia="Times New Roman" w:hAnsi="Bookman Old Style" w:cs="Times New Roman"/>
          <w:b/>
          <w:sz w:val="24"/>
          <w:szCs w:val="24"/>
        </w:rPr>
      </w:pPr>
    </w:p>
    <w:p w14:paraId="3F8E0197" w14:textId="77777777" w:rsidR="00B53DEA" w:rsidRPr="00B53DEA" w:rsidRDefault="00B53DEA" w:rsidP="00B53DEA">
      <w:pPr>
        <w:widowControl w:val="0"/>
        <w:spacing w:after="0"/>
        <w:jc w:val="both"/>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Son varios los Estados los que, a pesar de haber ratificado y adoptado el Pacto Internacional de Derechos Económicos, Sociales y Culturales los que han consagrado explícitamente en sus constituciones el reconocimiento del derecho a estar protegido contra el hambre y la desnutrición, así</w:t>
      </w:r>
      <w:r w:rsidRPr="00B53DEA">
        <w:rPr>
          <w:rFonts w:ascii="Bookman Old Style" w:eastAsia="Times New Roman" w:hAnsi="Bookman Old Style" w:cs="Times New Roman"/>
          <w:sz w:val="24"/>
          <w:szCs w:val="24"/>
          <w:vertAlign w:val="superscript"/>
        </w:rPr>
        <w:footnoteReference w:id="33"/>
      </w:r>
      <w:r w:rsidRPr="00B53DEA">
        <w:rPr>
          <w:rFonts w:ascii="Bookman Old Style" w:eastAsia="Times New Roman" w:hAnsi="Bookman Old Style" w:cs="Times New Roman"/>
          <w:sz w:val="24"/>
          <w:szCs w:val="24"/>
        </w:rPr>
        <w:t>:</w:t>
      </w:r>
    </w:p>
    <w:p w14:paraId="45DFCA6F" w14:textId="77777777" w:rsidR="00B53DEA" w:rsidRPr="00B53DEA" w:rsidRDefault="00B53DEA" w:rsidP="00B53DEA">
      <w:pPr>
        <w:widowControl w:val="0"/>
        <w:spacing w:after="0"/>
        <w:jc w:val="both"/>
        <w:rPr>
          <w:rFonts w:ascii="Bookman Old Style" w:eastAsia="Times New Roman" w:hAnsi="Bookman Old Style" w:cs="Times New Roman"/>
          <w:sz w:val="24"/>
          <w:szCs w:val="24"/>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1"/>
        <w:gridCol w:w="7307"/>
      </w:tblGrid>
      <w:tr w:rsidR="00B53DEA" w:rsidRPr="00B53DEA" w14:paraId="6C020E2F" w14:textId="77777777" w:rsidTr="007C08BB">
        <w:tc>
          <w:tcPr>
            <w:tcW w:w="1521" w:type="dxa"/>
          </w:tcPr>
          <w:p w14:paraId="3565D03A" w14:textId="188F2419" w:rsidR="00B53DEA" w:rsidRPr="00B53DEA" w:rsidRDefault="00B53DEA" w:rsidP="00B53DEA">
            <w:pPr>
              <w:widowControl w:val="0"/>
              <w:spacing w:after="0"/>
              <w:jc w:val="center"/>
              <w:rPr>
                <w:rFonts w:ascii="Bookman Old Style" w:eastAsia="Times New Roman" w:hAnsi="Bookman Old Style" w:cs="Times New Roman"/>
                <w:b/>
                <w:bCs/>
                <w:sz w:val="28"/>
                <w:szCs w:val="28"/>
              </w:rPr>
            </w:pPr>
            <w:r w:rsidRPr="00B53DEA">
              <w:rPr>
                <w:rFonts w:ascii="Bookman Old Style" w:eastAsia="Times New Roman" w:hAnsi="Bookman Old Style" w:cs="Times New Roman"/>
                <w:b/>
                <w:bCs/>
                <w:sz w:val="28"/>
                <w:szCs w:val="28"/>
              </w:rPr>
              <w:t>PAÍS</w:t>
            </w:r>
          </w:p>
        </w:tc>
        <w:tc>
          <w:tcPr>
            <w:tcW w:w="7307" w:type="dxa"/>
          </w:tcPr>
          <w:p w14:paraId="1DF21AFD" w14:textId="355A9277" w:rsidR="00B53DEA" w:rsidRPr="00B53DEA" w:rsidRDefault="00B53DEA" w:rsidP="00B53DEA">
            <w:pPr>
              <w:widowControl w:val="0"/>
              <w:spacing w:after="0"/>
              <w:jc w:val="center"/>
              <w:rPr>
                <w:rFonts w:ascii="Bookman Old Style" w:eastAsia="Times New Roman" w:hAnsi="Bookman Old Style" w:cs="Times New Roman"/>
                <w:b/>
                <w:bCs/>
                <w:sz w:val="28"/>
                <w:szCs w:val="28"/>
              </w:rPr>
            </w:pPr>
            <w:r w:rsidRPr="00B53DEA">
              <w:rPr>
                <w:rFonts w:ascii="Bookman Old Style" w:eastAsia="Times New Roman" w:hAnsi="Bookman Old Style" w:cs="Times New Roman"/>
                <w:b/>
                <w:bCs/>
                <w:sz w:val="28"/>
                <w:szCs w:val="28"/>
              </w:rPr>
              <w:t>TEXTO CONSTITUCIONAL</w:t>
            </w:r>
          </w:p>
        </w:tc>
      </w:tr>
      <w:tr w:rsidR="00B53DEA" w:rsidRPr="00B53DEA" w14:paraId="7A931165" w14:textId="77777777" w:rsidTr="007C08BB">
        <w:tc>
          <w:tcPr>
            <w:tcW w:w="1521" w:type="dxa"/>
            <w:vAlign w:val="center"/>
          </w:tcPr>
          <w:p w14:paraId="25E71CB5" w14:textId="77777777" w:rsidR="00B53DEA" w:rsidRPr="00B53DEA" w:rsidRDefault="00B53DEA" w:rsidP="007C08BB">
            <w:pPr>
              <w:widowControl w:val="0"/>
              <w:spacing w:after="0"/>
              <w:jc w:val="center"/>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Bolivia</w:t>
            </w:r>
          </w:p>
          <w:p w14:paraId="2E451A81" w14:textId="77777777" w:rsidR="00B53DEA" w:rsidRPr="00B53DEA" w:rsidRDefault="00B53DEA" w:rsidP="007C08BB">
            <w:pPr>
              <w:widowControl w:val="0"/>
              <w:spacing w:after="0"/>
              <w:jc w:val="center"/>
              <w:rPr>
                <w:rFonts w:ascii="Bookman Old Style" w:eastAsia="Times New Roman" w:hAnsi="Bookman Old Style" w:cs="Times New Roman"/>
                <w:sz w:val="24"/>
                <w:szCs w:val="24"/>
              </w:rPr>
            </w:pPr>
          </w:p>
        </w:tc>
        <w:tc>
          <w:tcPr>
            <w:tcW w:w="7307" w:type="dxa"/>
          </w:tcPr>
          <w:p w14:paraId="2C169D08" w14:textId="77777777" w:rsidR="00B53DEA" w:rsidRPr="00B53DEA" w:rsidRDefault="00B53DEA" w:rsidP="007C08BB">
            <w:pPr>
              <w:widowControl w:val="0"/>
              <w:spacing w:after="0"/>
              <w:jc w:val="both"/>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Artículo 16: 1. Toda persona tiene derecho al agua y a la alimentación. (…) El Estado tiene la obligación de garantizar la seguridad alimentaria, a través de una alimentación sana, adecuada y suficiente para toda la población.</w:t>
            </w:r>
          </w:p>
        </w:tc>
      </w:tr>
      <w:tr w:rsidR="00B53DEA" w:rsidRPr="00B53DEA" w14:paraId="12A5CC2E" w14:textId="77777777" w:rsidTr="007C08BB">
        <w:tc>
          <w:tcPr>
            <w:tcW w:w="1521" w:type="dxa"/>
            <w:vAlign w:val="center"/>
          </w:tcPr>
          <w:p w14:paraId="770F598E" w14:textId="77777777" w:rsidR="00B53DEA" w:rsidRPr="00B53DEA" w:rsidRDefault="00B53DEA" w:rsidP="007C08BB">
            <w:pPr>
              <w:widowControl w:val="0"/>
              <w:spacing w:after="0"/>
              <w:jc w:val="center"/>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Ecuador</w:t>
            </w:r>
          </w:p>
          <w:p w14:paraId="22EBA52F" w14:textId="77777777" w:rsidR="00B53DEA" w:rsidRPr="00B53DEA" w:rsidRDefault="00B53DEA" w:rsidP="007C08BB">
            <w:pPr>
              <w:widowControl w:val="0"/>
              <w:spacing w:after="0"/>
              <w:jc w:val="center"/>
              <w:rPr>
                <w:rFonts w:ascii="Bookman Old Style" w:eastAsia="Times New Roman" w:hAnsi="Bookman Old Style" w:cs="Times New Roman"/>
                <w:sz w:val="24"/>
                <w:szCs w:val="24"/>
              </w:rPr>
            </w:pPr>
          </w:p>
        </w:tc>
        <w:tc>
          <w:tcPr>
            <w:tcW w:w="7307" w:type="dxa"/>
          </w:tcPr>
          <w:p w14:paraId="452CB4A5" w14:textId="77777777" w:rsidR="00B53DEA" w:rsidRPr="00B53DEA" w:rsidRDefault="00B53DEA" w:rsidP="007C08BB">
            <w:pPr>
              <w:widowControl w:val="0"/>
              <w:spacing w:after="0"/>
              <w:jc w:val="both"/>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Artículo 3. Son deberes primordiales del Estado: (…) 1. Garantizar sin discriminación alguna el efectivo goce de los derechos establecidos en la Constitución y en los instrumentos internacionales, en particular la educación, la salud, la alimentación, la seguridad social y el agua para sus habitantes.</w:t>
            </w:r>
          </w:p>
          <w:p w14:paraId="5F1AFD19" w14:textId="77777777" w:rsidR="00B53DEA" w:rsidRPr="00B53DEA" w:rsidRDefault="00B53DEA" w:rsidP="007C08BB">
            <w:pPr>
              <w:widowControl w:val="0"/>
              <w:spacing w:after="0"/>
              <w:jc w:val="both"/>
              <w:rPr>
                <w:rFonts w:ascii="Bookman Old Style" w:eastAsia="Times New Roman" w:hAnsi="Bookman Old Style" w:cs="Times New Roman"/>
                <w:sz w:val="24"/>
                <w:szCs w:val="24"/>
              </w:rPr>
            </w:pPr>
          </w:p>
          <w:p w14:paraId="296C9C26" w14:textId="77777777" w:rsidR="00B53DEA" w:rsidRPr="00B53DEA" w:rsidRDefault="00B53DEA" w:rsidP="007C08BB">
            <w:pPr>
              <w:widowControl w:val="0"/>
              <w:spacing w:after="0"/>
              <w:jc w:val="both"/>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Artículo 32. 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p>
          <w:p w14:paraId="46AF1F24" w14:textId="77777777" w:rsidR="00B53DEA" w:rsidRPr="00B53DEA" w:rsidRDefault="00B53DEA" w:rsidP="007C08BB">
            <w:pPr>
              <w:widowControl w:val="0"/>
              <w:spacing w:after="0"/>
              <w:jc w:val="both"/>
              <w:rPr>
                <w:rFonts w:ascii="Bookman Old Style" w:eastAsia="Times New Roman" w:hAnsi="Bookman Old Style" w:cs="Times New Roman"/>
                <w:sz w:val="24"/>
                <w:szCs w:val="24"/>
              </w:rPr>
            </w:pPr>
          </w:p>
          <w:p w14:paraId="474A90E7" w14:textId="77777777" w:rsidR="00B53DEA" w:rsidRPr="00B53DEA" w:rsidRDefault="00B53DEA" w:rsidP="007C08BB">
            <w:pPr>
              <w:widowControl w:val="0"/>
              <w:spacing w:after="0"/>
              <w:jc w:val="both"/>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 xml:space="preserve">Artículo 66. Se reconoce y garantizará a las personas: (…) 2. El derecho a una vida digna, que asegure la salud, alimentación y nutrición, agua potable, vivienda, saneamiento ambiental, educación, trabajo, empleo, </w:t>
            </w:r>
            <w:r w:rsidRPr="00B53DEA">
              <w:rPr>
                <w:rFonts w:ascii="Bookman Old Style" w:eastAsia="Times New Roman" w:hAnsi="Bookman Old Style" w:cs="Times New Roman"/>
                <w:sz w:val="24"/>
                <w:szCs w:val="24"/>
              </w:rPr>
              <w:lastRenderedPageBreak/>
              <w:t>descanso y ocio, cultura física, vestido, seguridad social y otros servicios sociales necesarios.</w:t>
            </w:r>
          </w:p>
        </w:tc>
      </w:tr>
      <w:tr w:rsidR="00B53DEA" w:rsidRPr="00B53DEA" w14:paraId="36F62E5A" w14:textId="77777777" w:rsidTr="007C08BB">
        <w:tc>
          <w:tcPr>
            <w:tcW w:w="1521" w:type="dxa"/>
            <w:vAlign w:val="center"/>
          </w:tcPr>
          <w:p w14:paraId="7D96C784" w14:textId="77777777" w:rsidR="00B53DEA" w:rsidRPr="00B53DEA" w:rsidRDefault="00B53DEA" w:rsidP="007C08BB">
            <w:pPr>
              <w:widowControl w:val="0"/>
              <w:spacing w:after="0"/>
              <w:jc w:val="center"/>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lastRenderedPageBreak/>
              <w:t>Kenia</w:t>
            </w:r>
          </w:p>
        </w:tc>
        <w:tc>
          <w:tcPr>
            <w:tcW w:w="7307" w:type="dxa"/>
          </w:tcPr>
          <w:p w14:paraId="1C7105BF" w14:textId="77777777" w:rsidR="00B53DEA" w:rsidRPr="00B53DEA" w:rsidRDefault="00B53DEA" w:rsidP="007C08BB">
            <w:pPr>
              <w:widowControl w:val="0"/>
              <w:spacing w:after="0"/>
              <w:jc w:val="both"/>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Artículo 43. 1. Todas las personas tienen derecho: (…) c. A no padecer hambre y a tener alimentos adecuados de aceptable calidad.</w:t>
            </w:r>
          </w:p>
        </w:tc>
      </w:tr>
      <w:tr w:rsidR="00B53DEA" w:rsidRPr="00B53DEA" w14:paraId="49CB48C8" w14:textId="77777777" w:rsidTr="007C08BB">
        <w:tc>
          <w:tcPr>
            <w:tcW w:w="1521" w:type="dxa"/>
            <w:vAlign w:val="center"/>
          </w:tcPr>
          <w:p w14:paraId="1D5D14DB" w14:textId="77777777" w:rsidR="00B53DEA" w:rsidRPr="00B53DEA" w:rsidRDefault="00B53DEA" w:rsidP="007C08BB">
            <w:pPr>
              <w:widowControl w:val="0"/>
              <w:spacing w:after="0"/>
              <w:jc w:val="center"/>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México</w:t>
            </w:r>
          </w:p>
          <w:p w14:paraId="16F5C717" w14:textId="77777777" w:rsidR="00B53DEA" w:rsidRPr="00B53DEA" w:rsidRDefault="00B53DEA" w:rsidP="007C08BB">
            <w:pPr>
              <w:widowControl w:val="0"/>
              <w:spacing w:after="0"/>
              <w:jc w:val="center"/>
              <w:rPr>
                <w:rFonts w:ascii="Bookman Old Style" w:eastAsia="Times New Roman" w:hAnsi="Bookman Old Style" w:cs="Times New Roman"/>
                <w:sz w:val="24"/>
                <w:szCs w:val="24"/>
              </w:rPr>
            </w:pPr>
          </w:p>
        </w:tc>
        <w:tc>
          <w:tcPr>
            <w:tcW w:w="7307" w:type="dxa"/>
          </w:tcPr>
          <w:p w14:paraId="6DE3734D" w14:textId="77777777" w:rsidR="00B53DEA" w:rsidRPr="00B53DEA" w:rsidRDefault="00B53DEA" w:rsidP="007C08BB">
            <w:pPr>
              <w:widowControl w:val="0"/>
              <w:spacing w:after="0"/>
              <w:jc w:val="both"/>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Artículo 4. Toda persona tiene derecho a la alimentación nutritiva, suficiente y de calidad. El Estado lo garantizará. (…)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tc>
      </w:tr>
      <w:tr w:rsidR="00B53DEA" w:rsidRPr="00B53DEA" w14:paraId="1F8B4CAA" w14:textId="77777777" w:rsidTr="007C08BB">
        <w:tc>
          <w:tcPr>
            <w:tcW w:w="1521" w:type="dxa"/>
            <w:vAlign w:val="center"/>
          </w:tcPr>
          <w:p w14:paraId="16B40B95" w14:textId="77777777" w:rsidR="00B53DEA" w:rsidRPr="00B53DEA" w:rsidRDefault="00B53DEA" w:rsidP="007C08BB">
            <w:pPr>
              <w:widowControl w:val="0"/>
              <w:spacing w:after="0"/>
              <w:jc w:val="center"/>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Nigeria</w:t>
            </w:r>
          </w:p>
        </w:tc>
        <w:tc>
          <w:tcPr>
            <w:tcW w:w="7307" w:type="dxa"/>
          </w:tcPr>
          <w:p w14:paraId="142D0E53" w14:textId="77777777" w:rsidR="00B53DEA" w:rsidRPr="00B53DEA" w:rsidRDefault="00B53DEA" w:rsidP="007C08BB">
            <w:pPr>
              <w:shd w:val="clear" w:color="auto" w:fill="FFFFFF"/>
              <w:spacing w:after="0" w:line="240" w:lineRule="auto"/>
              <w:jc w:val="both"/>
              <w:rPr>
                <w:rFonts w:ascii="Bookman Old Style" w:eastAsia="Times New Roman" w:hAnsi="Bookman Old Style" w:cs="Times New Roman"/>
                <w:color w:val="333333"/>
                <w:sz w:val="24"/>
                <w:szCs w:val="24"/>
              </w:rPr>
            </w:pPr>
            <w:r w:rsidRPr="00B53DEA">
              <w:rPr>
                <w:rFonts w:ascii="Bookman Old Style" w:eastAsia="Times New Roman" w:hAnsi="Bookman Old Style" w:cs="Times New Roman"/>
                <w:color w:val="333333"/>
                <w:sz w:val="24"/>
                <w:szCs w:val="24"/>
              </w:rPr>
              <w:t>2.El Estado dirigirá su política con el fin de garantizar: (…) d. que se le proporcionen a todos los ciudadanos un alojamiento adecuado y suficiente, alimentación adecuada y suficiente, un salario mínimo nacional razonables, cuidados y pensiones para la tercera edad; prestaciones en caso de desempleo y enfermedad, y asistencia social para los incapacitados.</w:t>
            </w:r>
          </w:p>
        </w:tc>
      </w:tr>
      <w:tr w:rsidR="00B53DEA" w:rsidRPr="00B53DEA" w14:paraId="1563D204" w14:textId="77777777" w:rsidTr="007C08BB">
        <w:tc>
          <w:tcPr>
            <w:tcW w:w="1521" w:type="dxa"/>
            <w:vAlign w:val="center"/>
          </w:tcPr>
          <w:p w14:paraId="3E08C650" w14:textId="77777777" w:rsidR="00B53DEA" w:rsidRPr="00B53DEA" w:rsidRDefault="00B53DEA" w:rsidP="007C08BB">
            <w:pPr>
              <w:widowControl w:val="0"/>
              <w:spacing w:after="0"/>
              <w:jc w:val="center"/>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Panamá</w:t>
            </w:r>
          </w:p>
        </w:tc>
        <w:tc>
          <w:tcPr>
            <w:tcW w:w="7307" w:type="dxa"/>
          </w:tcPr>
          <w:p w14:paraId="71ACB982" w14:textId="77777777" w:rsidR="00B53DEA" w:rsidRPr="00B53DEA" w:rsidRDefault="00B53DEA" w:rsidP="007C08BB">
            <w:pPr>
              <w:shd w:val="clear" w:color="auto" w:fill="FFFFFF"/>
              <w:spacing w:after="0" w:line="240" w:lineRule="auto"/>
              <w:jc w:val="both"/>
              <w:rPr>
                <w:rFonts w:ascii="Bookman Old Style" w:eastAsia="Times New Roman" w:hAnsi="Bookman Old Style" w:cs="Times New Roman"/>
                <w:color w:val="333333"/>
                <w:sz w:val="24"/>
                <w:szCs w:val="24"/>
              </w:rPr>
            </w:pPr>
            <w:r w:rsidRPr="00B53DEA">
              <w:rPr>
                <w:rFonts w:ascii="Bookman Old Style" w:eastAsia="Times New Roman" w:hAnsi="Bookman Old Style" w:cs="Times New Roman"/>
                <w:color w:val="333333"/>
                <w:sz w:val="24"/>
                <w:szCs w:val="24"/>
              </w:rPr>
              <w:t xml:space="preserve">En materia de salud, corresponde primordialmente al Estado el desarrollo de las siguientes actividades, integrando las funciones de prevención, curación y rehabilitación: (…) </w:t>
            </w:r>
            <w:r w:rsidRPr="00B53DEA">
              <w:rPr>
                <w:rFonts w:ascii="Bookman Old Style" w:eastAsia="Times New Roman" w:hAnsi="Bookman Old Style" w:cs="Times New Roman"/>
                <w:color w:val="333333"/>
                <w:sz w:val="24"/>
                <w:szCs w:val="24"/>
                <w:highlight w:val="white"/>
              </w:rPr>
              <w:t>1. Desarrollar una política nacional de alimentación y nutrición que asegure un óptimo estado nutricional para toda la población, al promover la disponibilidad, el consumo y el aprovechamiento biológico de los alimentos adecuados.</w:t>
            </w:r>
          </w:p>
          <w:p w14:paraId="0A55B740" w14:textId="77777777" w:rsidR="00B53DEA" w:rsidRPr="00B53DEA" w:rsidRDefault="00B53DEA" w:rsidP="007C08BB">
            <w:pPr>
              <w:widowControl w:val="0"/>
              <w:spacing w:after="0"/>
              <w:jc w:val="both"/>
              <w:rPr>
                <w:rFonts w:ascii="Bookman Old Style" w:eastAsia="Times New Roman" w:hAnsi="Bookman Old Style" w:cs="Times New Roman"/>
                <w:sz w:val="24"/>
                <w:szCs w:val="24"/>
              </w:rPr>
            </w:pPr>
          </w:p>
        </w:tc>
      </w:tr>
      <w:tr w:rsidR="00B53DEA" w:rsidRPr="00B53DEA" w14:paraId="00CAC97E" w14:textId="77777777" w:rsidTr="007C08BB">
        <w:tc>
          <w:tcPr>
            <w:tcW w:w="1521" w:type="dxa"/>
            <w:vAlign w:val="center"/>
          </w:tcPr>
          <w:p w14:paraId="317CAD09" w14:textId="77777777" w:rsidR="00B53DEA" w:rsidRPr="00B53DEA" w:rsidRDefault="00B53DEA" w:rsidP="007C08BB">
            <w:pPr>
              <w:widowControl w:val="0"/>
              <w:spacing w:after="0"/>
              <w:jc w:val="center"/>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Paraguay</w:t>
            </w:r>
          </w:p>
        </w:tc>
        <w:tc>
          <w:tcPr>
            <w:tcW w:w="7307" w:type="dxa"/>
          </w:tcPr>
          <w:p w14:paraId="1706F3FC" w14:textId="77777777" w:rsidR="00B53DEA" w:rsidRPr="00B53DEA" w:rsidRDefault="00B53DEA" w:rsidP="007C08BB">
            <w:pPr>
              <w:widowControl w:val="0"/>
              <w:spacing w:after="0"/>
              <w:jc w:val="both"/>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Artículo 57. La familia, la sociedad y los poderes públicos promoverán su bienestar mediante servicios sociales que se ocupen de sus necesidades de alimentación, salud, vivienda, cultura y ocio.</w:t>
            </w:r>
          </w:p>
        </w:tc>
      </w:tr>
      <w:tr w:rsidR="00B53DEA" w:rsidRPr="00B53DEA" w14:paraId="1E259C48" w14:textId="77777777" w:rsidTr="007C08BB">
        <w:tc>
          <w:tcPr>
            <w:tcW w:w="1521" w:type="dxa"/>
            <w:vAlign w:val="center"/>
          </w:tcPr>
          <w:p w14:paraId="7EA08A10" w14:textId="77777777" w:rsidR="00B53DEA" w:rsidRPr="00B53DEA" w:rsidRDefault="00B53DEA" w:rsidP="007C08BB">
            <w:pPr>
              <w:widowControl w:val="0"/>
              <w:spacing w:after="0"/>
              <w:jc w:val="center"/>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República Dominicana</w:t>
            </w:r>
          </w:p>
        </w:tc>
        <w:tc>
          <w:tcPr>
            <w:tcW w:w="7307" w:type="dxa"/>
          </w:tcPr>
          <w:p w14:paraId="6FDD76DB" w14:textId="77777777" w:rsidR="00B53DEA" w:rsidRPr="00B53DEA" w:rsidRDefault="00B53DEA" w:rsidP="007C08BB">
            <w:pPr>
              <w:widowControl w:val="0"/>
              <w:spacing w:after="0"/>
              <w:jc w:val="both"/>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 xml:space="preserve">Artículo 61. Toda persona tiene derecho a la salud integral. En consecuencia: (…) 1. El Estado debe velar por la protección de la salud de todas las personas, el acceso al agua potable, el mejoramiento de la alimentación, de los servicios sanitarios, las condiciones higiénicas, el saneamiento ambiental, así como procurar los medios para </w:t>
            </w:r>
            <w:r w:rsidRPr="00B53DEA">
              <w:rPr>
                <w:rFonts w:ascii="Bookman Old Style" w:eastAsia="Times New Roman" w:hAnsi="Bookman Old Style" w:cs="Times New Roman"/>
                <w:sz w:val="24"/>
                <w:szCs w:val="24"/>
              </w:rPr>
              <w:lastRenderedPageBreak/>
              <w:t>la prevención y tratamiento de todas las enfermedades, asegurando el acceso a medicamentos de calidad y dando asistencia médica y hospitalaria gratuita a quienes la requieran;</w:t>
            </w:r>
          </w:p>
        </w:tc>
      </w:tr>
    </w:tbl>
    <w:p w14:paraId="23E93F37" w14:textId="77777777" w:rsidR="00B53DEA" w:rsidRPr="00B53DEA" w:rsidRDefault="00B53DEA" w:rsidP="00B53DEA">
      <w:pPr>
        <w:widowControl w:val="0"/>
        <w:spacing w:after="0"/>
        <w:jc w:val="both"/>
        <w:rPr>
          <w:rFonts w:ascii="Bookman Old Style" w:eastAsia="Times New Roman" w:hAnsi="Bookman Old Style" w:cs="Times New Roman"/>
          <w:sz w:val="24"/>
          <w:szCs w:val="24"/>
        </w:rPr>
      </w:pPr>
    </w:p>
    <w:p w14:paraId="462AD847" w14:textId="77777777" w:rsidR="00B53DEA" w:rsidRPr="00B53DEA" w:rsidRDefault="00B53DEA" w:rsidP="00B53DEA">
      <w:pPr>
        <w:widowControl w:val="0"/>
        <w:spacing w:after="0"/>
        <w:jc w:val="both"/>
        <w:rPr>
          <w:rFonts w:ascii="Bookman Old Style" w:eastAsia="Times New Roman" w:hAnsi="Bookman Old Style" w:cs="Times New Roman"/>
          <w:sz w:val="24"/>
          <w:szCs w:val="24"/>
        </w:rPr>
      </w:pPr>
      <w:r w:rsidRPr="00B53DEA">
        <w:rPr>
          <w:rFonts w:ascii="Bookman Old Style" w:eastAsia="Times New Roman" w:hAnsi="Bookman Old Style" w:cs="Times New Roman"/>
          <w:sz w:val="24"/>
          <w:szCs w:val="24"/>
        </w:rPr>
        <w:t>Es necesario resaltar que la totalidad de los Estados que consagran de una u otra forma el derecho a estar protegidos contra el hambre y la desnutrición – bien sea de manera directa o en conexidad con el derecho a la salud – son Estados en vías de desarrollo, tal y como es el caso de Colombia, por lo que no es de recibo un argumento que indique que el país no puede consagrar en su ordenamiento jurídico este derecho -  en las condiciones señaladas en el acápite de exigibilidad – ya que en al menos 13 países (la mayoría de ellos pertenecientes a la región de América Latina y el Caribe) ha sido posible elevar a rango constitucional el derecho a estar protegido contra el hambre y la desnutrición, y con base en esta disposición jurídica, tener la legitimidad así como la obligación de adoptar medidas que permitan garantizar la protección de este derecho esencial para cualquier ser humano.</w:t>
      </w:r>
    </w:p>
    <w:p w14:paraId="148CA954" w14:textId="77777777" w:rsidR="00B53DEA" w:rsidRPr="001A7C74" w:rsidRDefault="00B53DEA" w:rsidP="003F7E77">
      <w:pPr>
        <w:widowControl w:val="0"/>
        <w:spacing w:after="0" w:line="276" w:lineRule="auto"/>
        <w:jc w:val="both"/>
        <w:rPr>
          <w:rFonts w:ascii="Bookman Old Style" w:eastAsia="Times New Roman" w:hAnsi="Bookman Old Style" w:cs="Times New Roman"/>
          <w:sz w:val="24"/>
          <w:szCs w:val="24"/>
        </w:rPr>
      </w:pPr>
    </w:p>
    <w:p w14:paraId="38CB4DA2" w14:textId="77777777" w:rsidR="003F7E77" w:rsidRPr="001A7C74" w:rsidRDefault="003F7E77" w:rsidP="003F7E77">
      <w:pPr>
        <w:spacing w:after="0" w:line="276" w:lineRule="auto"/>
        <w:jc w:val="both"/>
        <w:rPr>
          <w:rFonts w:ascii="Bookman Old Style" w:hAnsi="Bookman Old Style" w:cs="Times New Roman"/>
          <w:sz w:val="24"/>
          <w:szCs w:val="24"/>
          <w:lang w:val="es-MX"/>
        </w:rPr>
      </w:pPr>
    </w:p>
    <w:p w14:paraId="6A6E0109" w14:textId="77777777" w:rsidR="003F7E77" w:rsidRPr="001A7C74" w:rsidRDefault="003F7E77" w:rsidP="003F7E77">
      <w:pPr>
        <w:pStyle w:val="Prrafodelista"/>
        <w:numPr>
          <w:ilvl w:val="0"/>
          <w:numId w:val="4"/>
        </w:numPr>
        <w:spacing w:line="276" w:lineRule="auto"/>
        <w:rPr>
          <w:rFonts w:ascii="Bookman Old Style" w:eastAsia="Times New Roman" w:hAnsi="Bookman Old Style" w:cs="Times New Roman"/>
          <w:sz w:val="24"/>
          <w:szCs w:val="24"/>
        </w:rPr>
      </w:pPr>
      <w:r w:rsidRPr="001A7C74">
        <w:rPr>
          <w:rFonts w:ascii="Bookman Old Style" w:eastAsia="Times New Roman" w:hAnsi="Bookman Old Style" w:cs="Times New Roman"/>
          <w:b/>
          <w:sz w:val="24"/>
          <w:szCs w:val="24"/>
        </w:rPr>
        <w:t>Consideraciones frente a los conceptos de seguridad y soberanía alimentaria</w:t>
      </w:r>
    </w:p>
    <w:p w14:paraId="192AB786" w14:textId="77777777" w:rsidR="003F7E77" w:rsidRPr="001A7C74" w:rsidRDefault="003F7E77" w:rsidP="003F7E77">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 xml:space="preserve">Pese a ser un concepto que se encuentra intrínsecamente relacionado con los objetivos del Derecho a la Alimentación Adecuada, es necesario entrar a distinguir la Seguridad Alimentaria, como concepto doctrinario carente de significancia en el ámbito jurídico, del Derecho a la Alimentación, el cual es completamente vinculante para el Estado colombiano al ser reconocido como un Derecho Humano. </w:t>
      </w:r>
    </w:p>
    <w:p w14:paraId="16CF4FD2" w14:textId="77777777" w:rsidR="003F7E77" w:rsidRPr="001A7C74" w:rsidRDefault="003F7E77" w:rsidP="003F7E77">
      <w:pPr>
        <w:spacing w:after="0" w:line="276" w:lineRule="auto"/>
        <w:jc w:val="both"/>
        <w:rPr>
          <w:rFonts w:ascii="Bookman Old Style" w:hAnsi="Bookman Old Style" w:cs="Times New Roman"/>
          <w:sz w:val="24"/>
          <w:szCs w:val="24"/>
        </w:rPr>
      </w:pPr>
    </w:p>
    <w:p w14:paraId="2A35F159" w14:textId="77777777" w:rsidR="003F7E77" w:rsidRPr="001A7C74" w:rsidRDefault="003F7E77" w:rsidP="003F7E77">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Tradicionalmente se ha entendido a la seguridad alimentaria como “</w:t>
      </w:r>
      <w:r w:rsidRPr="001A7C74">
        <w:rPr>
          <w:rFonts w:ascii="Bookman Old Style" w:hAnsi="Bookman Old Style" w:cs="Times New Roman"/>
          <w:i/>
          <w:sz w:val="24"/>
          <w:szCs w:val="24"/>
        </w:rPr>
        <w:t>la posibilidad de acceso a los alimentos por parte de las generaciones presentes y futuras</w:t>
      </w:r>
      <w:r w:rsidRPr="001A7C74">
        <w:rPr>
          <w:rFonts w:ascii="Bookman Old Style" w:hAnsi="Bookman Old Style" w:cs="Times New Roman"/>
          <w:sz w:val="24"/>
          <w:szCs w:val="24"/>
        </w:rPr>
        <w:t>”</w:t>
      </w:r>
      <w:r w:rsidRPr="001A7C74">
        <w:rPr>
          <w:rStyle w:val="Refdenotaalpie"/>
          <w:rFonts w:ascii="Bookman Old Style" w:hAnsi="Bookman Old Style" w:cs="Times New Roman"/>
          <w:sz w:val="24"/>
          <w:szCs w:val="24"/>
        </w:rPr>
        <w:footnoteReference w:id="34"/>
      </w:r>
      <w:r w:rsidRPr="001A7C74">
        <w:rPr>
          <w:rFonts w:ascii="Bookman Old Style" w:hAnsi="Bookman Old Style" w:cs="Times New Roman"/>
          <w:sz w:val="24"/>
          <w:szCs w:val="24"/>
        </w:rPr>
        <w:t xml:space="preserve">. </w:t>
      </w:r>
    </w:p>
    <w:p w14:paraId="7278B6CD" w14:textId="77777777" w:rsidR="003F7E77" w:rsidRPr="001A7C74" w:rsidRDefault="003F7E77" w:rsidP="003F7E77">
      <w:pPr>
        <w:spacing w:after="0" w:line="276" w:lineRule="auto"/>
        <w:jc w:val="both"/>
        <w:rPr>
          <w:rFonts w:ascii="Bookman Old Style" w:hAnsi="Bookman Old Style" w:cs="Times New Roman"/>
          <w:sz w:val="24"/>
          <w:szCs w:val="24"/>
        </w:rPr>
      </w:pPr>
    </w:p>
    <w:p w14:paraId="1C09BDA7" w14:textId="6EB1A330" w:rsidR="003F7E77" w:rsidRPr="001A7C74" w:rsidRDefault="003F7E77" w:rsidP="003F7E77">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Así mismo, la FAO, dando alcance al presente existe seguridad alimentaria “</w:t>
      </w:r>
      <w:r w:rsidRPr="001A7C74">
        <w:rPr>
          <w:rFonts w:ascii="Bookman Old Style" w:hAnsi="Bookman Old Style" w:cs="Times New Roman"/>
          <w:i/>
          <w:sz w:val="24"/>
          <w:szCs w:val="24"/>
        </w:rPr>
        <w:t xml:space="preserve">cuando todas las personas tienen en todo momento el acceso físico, social y económico a alimentos suficientes, inocuos y nutritivos que satisfacen sus </w:t>
      </w:r>
      <w:r w:rsidRPr="001A7C74">
        <w:rPr>
          <w:rFonts w:ascii="Bookman Old Style" w:hAnsi="Bookman Old Style" w:cs="Times New Roman"/>
          <w:i/>
          <w:sz w:val="24"/>
          <w:szCs w:val="24"/>
        </w:rPr>
        <w:lastRenderedPageBreak/>
        <w:t>necesidades y preferencias alimentarias para llevar una vida activa y sana</w:t>
      </w:r>
      <w:r w:rsidRPr="001A7C74">
        <w:rPr>
          <w:rFonts w:ascii="Bookman Old Style" w:hAnsi="Bookman Old Style" w:cs="Times New Roman"/>
          <w:sz w:val="24"/>
          <w:szCs w:val="24"/>
        </w:rPr>
        <w:t>”</w:t>
      </w:r>
      <w:r w:rsidRPr="001A7C74">
        <w:rPr>
          <w:rStyle w:val="Refdenotaalpie"/>
          <w:rFonts w:ascii="Bookman Old Style" w:hAnsi="Bookman Old Style" w:cs="Times New Roman"/>
          <w:sz w:val="24"/>
          <w:szCs w:val="24"/>
        </w:rPr>
        <w:footnoteReference w:id="35"/>
      </w:r>
      <w:r w:rsidRPr="001A7C74">
        <w:rPr>
          <w:rFonts w:ascii="Bookman Old Style" w:hAnsi="Bookman Old Style" w:cs="Times New Roman"/>
          <w:sz w:val="24"/>
          <w:szCs w:val="24"/>
        </w:rPr>
        <w:t xml:space="preserve">. </w:t>
      </w:r>
      <w:r w:rsidRPr="001A7C74">
        <w:rPr>
          <w:rFonts w:ascii="Bookman Old Style" w:hAnsi="Bookman Old Style" w:cs="Times New Roman"/>
          <w:i/>
          <w:sz w:val="24"/>
          <w:szCs w:val="24"/>
        </w:rPr>
        <w:t xml:space="preserve"> </w:t>
      </w:r>
      <w:r w:rsidRPr="001A7C74">
        <w:rPr>
          <w:rFonts w:ascii="Bookman Old Style" w:hAnsi="Bookman Old Style" w:cs="Times New Roman"/>
          <w:sz w:val="24"/>
          <w:szCs w:val="24"/>
        </w:rPr>
        <w:t>Del mismo modo, la Oficina del Alto Comisionado de las Naciones Unidas para los Derechos Humanos y la FAO en el Folleto Informativo No. 34 sobre el derecho a la alimentación adecuada ha establecido que “</w:t>
      </w:r>
      <w:r w:rsidRPr="001A7C74">
        <w:rPr>
          <w:rFonts w:ascii="Bookman Old Style" w:hAnsi="Bookman Old Style" w:cs="Times New Roman"/>
          <w:i/>
          <w:sz w:val="24"/>
          <w:szCs w:val="24"/>
        </w:rPr>
        <w:t>Se trata de una condición previa del ejercicio pleno del derecho a la alimentación. No obstante, el propio concepto de seguridad alimentaria no es un concepto jurídico en sí mismo, no impone obligaciones a los interesados ni les otorga derechos</w:t>
      </w:r>
      <w:r w:rsidRPr="001A7C74">
        <w:rPr>
          <w:rFonts w:ascii="Bookman Old Style" w:hAnsi="Bookman Old Style" w:cs="Times New Roman"/>
          <w:sz w:val="24"/>
          <w:szCs w:val="24"/>
        </w:rPr>
        <w:t>”</w:t>
      </w:r>
      <w:r w:rsidRPr="001A7C74">
        <w:rPr>
          <w:rStyle w:val="Refdenotaalpie"/>
          <w:rFonts w:ascii="Bookman Old Style" w:hAnsi="Bookman Old Style" w:cs="Times New Roman"/>
          <w:sz w:val="24"/>
          <w:szCs w:val="24"/>
        </w:rPr>
        <w:footnoteReference w:id="36"/>
      </w:r>
    </w:p>
    <w:p w14:paraId="3CBD67CA" w14:textId="77777777" w:rsidR="003F7E77" w:rsidRPr="001A7C74" w:rsidRDefault="003F7E77" w:rsidP="003F7E77">
      <w:pPr>
        <w:spacing w:after="0" w:line="276" w:lineRule="auto"/>
        <w:jc w:val="both"/>
        <w:rPr>
          <w:rFonts w:ascii="Bookman Old Style" w:hAnsi="Bookman Old Style" w:cs="Times New Roman"/>
          <w:sz w:val="24"/>
          <w:szCs w:val="24"/>
        </w:rPr>
      </w:pPr>
    </w:p>
    <w:p w14:paraId="49438C18" w14:textId="77777777" w:rsidR="003F7E77" w:rsidRPr="001A7C74" w:rsidRDefault="003F7E77" w:rsidP="003F7E77">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En nuestro ordenamiento jurídico, el concepto de la seguridad alimentaria ha sido recogido en el CONPES 113 de 2008, el cual plantea varias semejanzas con respecto a la definición propuesta por la FAO. En ese sentido, el mencionado documento de política señala que por Seguridad Alimentaria y Nutricional debe entenderse que es la “</w:t>
      </w:r>
      <w:r w:rsidRPr="001A7C74">
        <w:rPr>
          <w:rFonts w:ascii="Bookman Old Style" w:hAnsi="Bookman Old Style" w:cs="Times New Roman"/>
          <w:i/>
          <w:sz w:val="24"/>
          <w:szCs w:val="24"/>
        </w:rPr>
        <w:t>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r w:rsidRPr="001A7C74">
        <w:rPr>
          <w:rFonts w:ascii="Bookman Old Style" w:hAnsi="Bookman Old Style" w:cs="Times New Roman"/>
          <w:sz w:val="24"/>
          <w:szCs w:val="24"/>
        </w:rPr>
        <w:t>”</w:t>
      </w:r>
    </w:p>
    <w:p w14:paraId="3F625B25" w14:textId="77777777" w:rsidR="003F7E77" w:rsidRPr="001A7C74" w:rsidRDefault="003F7E77" w:rsidP="003F7E77">
      <w:pPr>
        <w:spacing w:after="0" w:line="276" w:lineRule="auto"/>
        <w:jc w:val="both"/>
        <w:rPr>
          <w:rFonts w:ascii="Bookman Old Style" w:hAnsi="Bookman Old Style" w:cs="Times New Roman"/>
          <w:sz w:val="24"/>
          <w:szCs w:val="24"/>
        </w:rPr>
      </w:pPr>
    </w:p>
    <w:p w14:paraId="3B4F7FE5" w14:textId="77777777" w:rsidR="003F7E77" w:rsidRPr="001A7C74" w:rsidRDefault="003F7E77" w:rsidP="003F7E77">
      <w:pPr>
        <w:spacing w:after="0" w:line="276" w:lineRule="auto"/>
        <w:jc w:val="both"/>
        <w:rPr>
          <w:rFonts w:ascii="Bookman Old Style" w:hAnsi="Bookman Old Style" w:cs="Times New Roman"/>
          <w:b/>
          <w:sz w:val="24"/>
          <w:szCs w:val="24"/>
        </w:rPr>
      </w:pPr>
      <w:r w:rsidRPr="001A7C74">
        <w:rPr>
          <w:rFonts w:ascii="Bookman Old Style" w:hAnsi="Bookman Old Style" w:cs="Times New Roman"/>
          <w:b/>
          <w:sz w:val="24"/>
          <w:szCs w:val="24"/>
        </w:rPr>
        <w:t xml:space="preserve"> La Soberanía Alimentaria:</w:t>
      </w:r>
    </w:p>
    <w:p w14:paraId="73EA4BC8" w14:textId="77777777" w:rsidR="003F7E77" w:rsidRPr="001A7C74" w:rsidRDefault="003F7E77" w:rsidP="003F7E77">
      <w:pPr>
        <w:spacing w:after="0" w:line="276" w:lineRule="auto"/>
        <w:jc w:val="both"/>
        <w:rPr>
          <w:rFonts w:ascii="Bookman Old Style" w:hAnsi="Bookman Old Style" w:cs="Times New Roman"/>
          <w:b/>
          <w:sz w:val="24"/>
          <w:szCs w:val="24"/>
        </w:rPr>
      </w:pPr>
    </w:p>
    <w:p w14:paraId="7E6A1E74" w14:textId="77777777" w:rsidR="003F7E77" w:rsidRPr="001A7C74" w:rsidRDefault="003F7E77" w:rsidP="003F7E77">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El concepto de soberanía alimentaria ha sido adoptado en diversas legislaciones (como es el caso de Guatemala, Ecuador, Bolivia o Brasil, entre otras). Sin embargo, a pesar de este reconocimiento en otros países de la región, no es menos cierto que conforme lo ha señalado la Oficina del Alto Comisionado de las Naciones Unidas, en conjunto con la FAO, - y contrario a lo que ocurre con el concepto de seguridad alimentaria – el contenido de la acepción de soberanía alimentaria es un concepto emergente, que aún no cuenta con un consenso en el marco del Derecho Internacional Público.</w:t>
      </w:r>
    </w:p>
    <w:p w14:paraId="481F506F" w14:textId="77777777" w:rsidR="003F7E77" w:rsidRPr="001A7C74" w:rsidRDefault="003F7E77" w:rsidP="003F7E77">
      <w:pPr>
        <w:spacing w:after="0" w:line="276" w:lineRule="auto"/>
        <w:jc w:val="both"/>
        <w:rPr>
          <w:rFonts w:ascii="Bookman Old Style" w:hAnsi="Bookman Old Style" w:cs="Times New Roman"/>
          <w:sz w:val="24"/>
          <w:szCs w:val="24"/>
        </w:rPr>
      </w:pPr>
    </w:p>
    <w:p w14:paraId="745D9BBF" w14:textId="77777777" w:rsidR="003F7E77" w:rsidRPr="001A7C74" w:rsidRDefault="003F7E77" w:rsidP="003F7E77">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 xml:space="preserve">Ahora bien, la falta de consenso en el concierto internacional no ha impedido que instancias como la Oficina del Alto Comisionado de los Derechos Humanos de las Naciones Unidas y la FAO, en el folleto informativo No. 34 </w:t>
      </w:r>
      <w:r w:rsidRPr="001A7C74">
        <w:rPr>
          <w:rFonts w:ascii="Bookman Old Style" w:hAnsi="Bookman Old Style" w:cs="Times New Roman"/>
          <w:sz w:val="24"/>
          <w:szCs w:val="24"/>
        </w:rPr>
        <w:lastRenderedPageBreak/>
        <w:t>sobre el derecho a la alimentación hayan propuesto una definición que recoge las principales posturas que hasta la fecha se han dado. En virtud de esta definición, por soberanía alimentaria se entiende la potestad que se irroga a las personas y a las comunidades para definir su propio alimento y modelo de producción. Así mismo, se les irroga el derecho para determinar hasta qué punto desean auto proveerse y hasta qué punto se desea proteger la producción interna de los recursos alimentarios. Así mismo, entendiendo que el mercado requiere de la intervención del Estado para asegurar su correcto funcionamiento, propende por regular el comercio a fin de lograr los objetivos inherentes del desarrollo sostenible y a la atención de las necesidades de la población</w:t>
      </w:r>
      <w:r w:rsidRPr="001A7C74">
        <w:rPr>
          <w:rStyle w:val="Refdenotaalpie"/>
          <w:rFonts w:ascii="Bookman Old Style" w:hAnsi="Bookman Old Style" w:cs="Times New Roman"/>
          <w:sz w:val="24"/>
          <w:szCs w:val="24"/>
        </w:rPr>
        <w:footnoteReference w:id="37"/>
      </w:r>
      <w:r w:rsidRPr="001A7C74">
        <w:rPr>
          <w:rFonts w:ascii="Bookman Old Style" w:hAnsi="Bookman Old Style" w:cs="Times New Roman"/>
          <w:sz w:val="24"/>
          <w:szCs w:val="24"/>
        </w:rPr>
        <w:t>.</w:t>
      </w:r>
    </w:p>
    <w:p w14:paraId="462CDE08" w14:textId="77777777" w:rsidR="003F7E77" w:rsidRPr="001A7C74" w:rsidRDefault="003F7E77" w:rsidP="003F7E77">
      <w:pPr>
        <w:spacing w:after="0" w:line="276" w:lineRule="auto"/>
        <w:jc w:val="both"/>
        <w:rPr>
          <w:rFonts w:ascii="Bookman Old Style" w:hAnsi="Bookman Old Style" w:cs="Times New Roman"/>
          <w:sz w:val="24"/>
          <w:szCs w:val="24"/>
        </w:rPr>
      </w:pPr>
    </w:p>
    <w:p w14:paraId="424EA542" w14:textId="77777777" w:rsidR="003F7E77" w:rsidRPr="001A7C74" w:rsidRDefault="003F7E77" w:rsidP="003F7E77">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Adicionalmente, no puede dejarse de lado lo aprobado por unanimidad en el seno del Parlamento Latinoamericano, instancia multilateral de la cual Colombia es parte, quien aprobó en 2012 el documento que tiene por objeto en convertirse en Ley Marco del Derecho a la Alimentación, la Seguridad y la Soberanía Alimentaria, en donde el numeral II del artículo 9 se establece una definición de Soberanía Alimentaria, entendida como:</w:t>
      </w:r>
    </w:p>
    <w:p w14:paraId="5E26B256" w14:textId="77777777" w:rsidR="003F7E77" w:rsidRPr="001A7C74" w:rsidRDefault="003F7E77" w:rsidP="003F7E77">
      <w:pPr>
        <w:spacing w:after="0" w:line="276" w:lineRule="auto"/>
        <w:jc w:val="both"/>
        <w:rPr>
          <w:rFonts w:ascii="Bookman Old Style" w:hAnsi="Bookman Old Style" w:cs="Times New Roman"/>
          <w:sz w:val="24"/>
          <w:szCs w:val="24"/>
        </w:rPr>
      </w:pPr>
    </w:p>
    <w:p w14:paraId="0D947386" w14:textId="77777777" w:rsidR="003F7E77" w:rsidRPr="001A7C74" w:rsidRDefault="003F7E77" w:rsidP="003F7E77">
      <w:pPr>
        <w:spacing w:after="0" w:line="276" w:lineRule="auto"/>
        <w:ind w:left="708"/>
        <w:jc w:val="both"/>
        <w:rPr>
          <w:rFonts w:ascii="Bookman Old Style" w:hAnsi="Bookman Old Style" w:cs="Times New Roman"/>
          <w:i/>
          <w:sz w:val="24"/>
          <w:szCs w:val="24"/>
        </w:rPr>
      </w:pPr>
      <w:r w:rsidRPr="001A7C74">
        <w:rPr>
          <w:rFonts w:ascii="Bookman Old Style" w:hAnsi="Bookman Old Style" w:cs="Times New Roman"/>
          <w:i/>
          <w:sz w:val="24"/>
          <w:szCs w:val="24"/>
        </w:rPr>
        <w:t xml:space="preserve">“El derecho de un país a definir sus propias políticas y estrategias sustentables de producción, distribución y consumo de alimentos, que garanticen el derecho a la alimentación sana y nutritiva para toda la población, respetando sus propias culturas y la diversidad de los sistemas productivos, de comercialización y de gestión de los espacios rurales.” </w:t>
      </w:r>
    </w:p>
    <w:p w14:paraId="13208CD6" w14:textId="77777777" w:rsidR="003F7E77" w:rsidRPr="001A7C74" w:rsidRDefault="003F7E77" w:rsidP="003F7E77">
      <w:pPr>
        <w:spacing w:after="0" w:line="276" w:lineRule="auto"/>
        <w:jc w:val="both"/>
        <w:rPr>
          <w:rFonts w:ascii="Bookman Old Style" w:hAnsi="Bookman Old Style" w:cs="Times New Roman"/>
          <w:i/>
          <w:sz w:val="24"/>
          <w:szCs w:val="24"/>
        </w:rPr>
      </w:pPr>
    </w:p>
    <w:p w14:paraId="62C7A736" w14:textId="77777777" w:rsidR="003F7E77" w:rsidRPr="001A7C74" w:rsidRDefault="003F7E77" w:rsidP="003F7E77">
      <w:pPr>
        <w:spacing w:after="0" w:line="276" w:lineRule="auto"/>
        <w:jc w:val="both"/>
        <w:rPr>
          <w:rFonts w:ascii="Bookman Old Style" w:hAnsi="Bookman Old Style" w:cs="Times New Roman"/>
          <w:sz w:val="24"/>
          <w:szCs w:val="24"/>
          <w:lang w:eastAsia="es-ES_tradnl" w:bidi="x-none"/>
        </w:rPr>
      </w:pPr>
      <w:r w:rsidRPr="001A7C74">
        <w:rPr>
          <w:rFonts w:ascii="Bookman Old Style" w:hAnsi="Bookman Old Style" w:cs="Times New Roman"/>
          <w:sz w:val="24"/>
          <w:szCs w:val="24"/>
        </w:rPr>
        <w:t xml:space="preserve">Si no fueran suficientes los argumentos anteriormente esgrimidos, no puede dejarse de lado que el concepto de soberanía alimentaria no es ajeno a nuestro ordenamiento jurídico. Para ello, es válido traer algunos ejemplos en donde se ha establecido el mismo: </w:t>
      </w:r>
      <w:r w:rsidRPr="001A7C74">
        <w:rPr>
          <w:rFonts w:ascii="Bookman Old Style" w:hAnsi="Bookman Old Style" w:cs="Times New Roman"/>
          <w:sz w:val="24"/>
          <w:szCs w:val="24"/>
          <w:lang w:eastAsia="es-ES_tradnl" w:bidi="x-none"/>
        </w:rPr>
        <w:t xml:space="preserve">Mediante la Ley 1776 de 2016, se establecieron las Zonas de Interés de Desarrollo Rural, Económico y Social (ZIDRES) como territorios con aptitud agrícola, pecuaria y forestal y piscícola. En dicha norma, específicamente en el parágrafo 5º del artículo 3º se dispuso que, en la aprobación de los proyectos productivos dentro de las ZIDRES, que contemplen la inversión nacional y extranjera, debe </w:t>
      </w:r>
      <w:r w:rsidRPr="001A7C74">
        <w:rPr>
          <w:rFonts w:ascii="Bookman Old Style" w:hAnsi="Bookman Old Style" w:cs="Times New Roman"/>
          <w:sz w:val="24"/>
          <w:szCs w:val="24"/>
          <w:lang w:eastAsia="es-ES_tradnl" w:bidi="x-none"/>
        </w:rPr>
        <w:lastRenderedPageBreak/>
        <w:t>garantizarse que no se afecte la seguridad, autonomía y soberanía alimentaria</w:t>
      </w:r>
      <w:r w:rsidRPr="001A7C74">
        <w:rPr>
          <w:rFonts w:ascii="Bookman Old Style" w:hAnsi="Bookman Old Style" w:cs="Times New Roman"/>
          <w:bCs/>
          <w:sz w:val="24"/>
          <w:szCs w:val="24"/>
          <w:lang w:eastAsia="es-ES_tradnl" w:bidi="x-none"/>
        </w:rPr>
        <w:t xml:space="preserve">. </w:t>
      </w:r>
    </w:p>
    <w:p w14:paraId="2066A8AC" w14:textId="77777777" w:rsidR="003F7E77" w:rsidRPr="001A7C74" w:rsidRDefault="003F7E77" w:rsidP="003F7E77">
      <w:pPr>
        <w:widowControl w:val="0"/>
        <w:autoSpaceDE w:val="0"/>
        <w:autoSpaceDN w:val="0"/>
        <w:adjustRightInd w:val="0"/>
        <w:spacing w:after="0" w:line="276" w:lineRule="auto"/>
        <w:jc w:val="both"/>
        <w:rPr>
          <w:rFonts w:ascii="Bookman Old Style" w:hAnsi="Bookman Old Style" w:cs="Times New Roman"/>
          <w:sz w:val="24"/>
          <w:szCs w:val="24"/>
          <w:lang w:eastAsia="es-ES_tradnl" w:bidi="x-none"/>
        </w:rPr>
      </w:pPr>
    </w:p>
    <w:p w14:paraId="1D619119" w14:textId="77777777" w:rsidR="003F7E77" w:rsidRPr="001A7C74" w:rsidRDefault="003F7E77" w:rsidP="003F7E77">
      <w:pPr>
        <w:widowControl w:val="0"/>
        <w:autoSpaceDE w:val="0"/>
        <w:autoSpaceDN w:val="0"/>
        <w:adjustRightInd w:val="0"/>
        <w:spacing w:after="0" w:line="276" w:lineRule="auto"/>
        <w:jc w:val="both"/>
        <w:rPr>
          <w:rFonts w:ascii="Bookman Old Style" w:hAnsi="Bookman Old Style" w:cs="Times New Roman"/>
          <w:i/>
          <w:iCs/>
          <w:sz w:val="24"/>
          <w:szCs w:val="24"/>
          <w:lang w:eastAsia="es-ES_tradnl" w:bidi="x-none"/>
        </w:rPr>
      </w:pPr>
      <w:r w:rsidRPr="001A7C74">
        <w:rPr>
          <w:rFonts w:ascii="Bookman Old Style" w:hAnsi="Bookman Old Style" w:cs="Times New Roman"/>
          <w:sz w:val="24"/>
          <w:szCs w:val="24"/>
          <w:lang w:eastAsia="es-ES_tradnl" w:bidi="x-none"/>
        </w:rPr>
        <w:t xml:space="preserve">De igual manera, recientemente la Ley 2046 de 2020, la Ley de Compras Públicas de Alimentos, indicó en su artículo 4º, relativo a las definiciones aplicables, señaló que </w:t>
      </w:r>
      <w:proofErr w:type="spellStart"/>
      <w:r w:rsidRPr="001A7C74">
        <w:rPr>
          <w:rFonts w:ascii="Bookman Old Style" w:hAnsi="Bookman Old Style" w:cs="Times New Roman"/>
          <w:sz w:val="24"/>
          <w:szCs w:val="24"/>
          <w:lang w:eastAsia="es-ES_tradnl" w:bidi="x-none"/>
        </w:rPr>
        <w:t>que</w:t>
      </w:r>
      <w:proofErr w:type="spellEnd"/>
      <w:r w:rsidRPr="001A7C74">
        <w:rPr>
          <w:rFonts w:ascii="Bookman Old Style" w:hAnsi="Bookman Old Style" w:cs="Times New Roman"/>
          <w:sz w:val="24"/>
          <w:szCs w:val="24"/>
          <w:lang w:eastAsia="es-ES_tradnl" w:bidi="x-none"/>
        </w:rPr>
        <w:t xml:space="preserve"> </w:t>
      </w:r>
      <w:r w:rsidRPr="001A7C74">
        <w:rPr>
          <w:rFonts w:ascii="Bookman Old Style" w:hAnsi="Bookman Old Style" w:cs="Times New Roman"/>
          <w:i/>
          <w:iCs/>
          <w:sz w:val="24"/>
          <w:szCs w:val="24"/>
          <w:lang w:eastAsia="es-ES_tradnl" w:bidi="x-none"/>
        </w:rPr>
        <w:t>“</w:t>
      </w:r>
      <w:r w:rsidRPr="001A7C74">
        <w:rPr>
          <w:rFonts w:ascii="Bookman Old Style" w:hAnsi="Bookman Old Style" w:cs="Times New Roman"/>
          <w:sz w:val="24"/>
          <w:szCs w:val="24"/>
          <w:lang w:eastAsia="es-ES_tradnl" w:bidi="x-none"/>
        </w:rPr>
        <w:t>[l]</w:t>
      </w:r>
      <w:r w:rsidRPr="001A7C74">
        <w:rPr>
          <w:rFonts w:ascii="Bookman Old Style" w:hAnsi="Bookman Old Style" w:cs="Times New Roman"/>
          <w:i/>
          <w:iCs/>
          <w:sz w:val="24"/>
          <w:szCs w:val="24"/>
          <w:lang w:eastAsia="es-ES_tradnl" w:bidi="x-none"/>
        </w:rPr>
        <w:t xml:space="preserve">os principios del comercio justo están relacionados con la soberanía alimentaria y seguridad alimentaria.” </w:t>
      </w:r>
      <w:r w:rsidRPr="001A7C74">
        <w:rPr>
          <w:rFonts w:ascii="Bookman Old Style" w:hAnsi="Bookman Old Style" w:cs="Times New Roman"/>
          <w:sz w:val="24"/>
          <w:szCs w:val="24"/>
          <w:lang w:eastAsia="es-ES_tradnl" w:bidi="x-none"/>
        </w:rPr>
        <w:t>Además, en el artículo 6º del mencionado instrumento normativo se consagró la obligación del Gobierno Nacional de capacitar en diferentes ejes temáticos, dentro de los cuales se encuentra la seguridad y soberanía alimentaria.</w:t>
      </w:r>
    </w:p>
    <w:p w14:paraId="430831EA" w14:textId="77777777" w:rsidR="003F7E77" w:rsidRPr="001A7C74" w:rsidRDefault="003F7E77" w:rsidP="003F7E77">
      <w:pPr>
        <w:spacing w:after="0" w:line="276" w:lineRule="auto"/>
        <w:jc w:val="both"/>
        <w:rPr>
          <w:rFonts w:ascii="Bookman Old Style" w:hAnsi="Bookman Old Style" w:cs="Times New Roman"/>
          <w:sz w:val="24"/>
          <w:szCs w:val="24"/>
          <w:lang w:val="es-MX"/>
        </w:rPr>
      </w:pPr>
    </w:p>
    <w:p w14:paraId="2C6FC2F0" w14:textId="77777777" w:rsidR="003F7E77" w:rsidRPr="001A7C74" w:rsidRDefault="003F7E77" w:rsidP="003F7E77">
      <w:pPr>
        <w:pStyle w:val="Prrafodelista"/>
        <w:numPr>
          <w:ilvl w:val="1"/>
          <w:numId w:val="6"/>
        </w:numPr>
        <w:spacing w:after="0" w:line="276" w:lineRule="auto"/>
        <w:jc w:val="both"/>
        <w:rPr>
          <w:rFonts w:ascii="Bookman Old Style" w:hAnsi="Bookman Old Style" w:cs="Times New Roman"/>
          <w:b/>
          <w:sz w:val="24"/>
          <w:szCs w:val="24"/>
          <w:lang w:val="es-MX"/>
        </w:rPr>
      </w:pPr>
      <w:r w:rsidRPr="001A7C74">
        <w:rPr>
          <w:rFonts w:ascii="Bookman Old Style" w:hAnsi="Bookman Old Style" w:cs="Times New Roman"/>
          <w:b/>
          <w:sz w:val="24"/>
          <w:szCs w:val="24"/>
          <w:lang w:val="es-MX"/>
        </w:rPr>
        <w:t xml:space="preserve"> La relación reconocida por la doctrina entre seguridad alimentaria y soberanía alimentaria</w:t>
      </w:r>
    </w:p>
    <w:p w14:paraId="56963E5D" w14:textId="77777777" w:rsidR="003F7E77" w:rsidRPr="001A7C74" w:rsidRDefault="003F7E77" w:rsidP="003F7E77">
      <w:pPr>
        <w:spacing w:after="0" w:line="276" w:lineRule="auto"/>
        <w:jc w:val="both"/>
        <w:rPr>
          <w:rFonts w:ascii="Bookman Old Style" w:hAnsi="Bookman Old Style" w:cs="Times New Roman"/>
          <w:sz w:val="24"/>
          <w:szCs w:val="24"/>
          <w:lang w:val="es-MX"/>
        </w:rPr>
      </w:pPr>
    </w:p>
    <w:p w14:paraId="5CE35312" w14:textId="77777777" w:rsidR="003F7E77" w:rsidRPr="001A7C74" w:rsidRDefault="003F7E77" w:rsidP="003F7E77">
      <w:pPr>
        <w:spacing w:after="0" w:line="276" w:lineRule="auto"/>
        <w:jc w:val="both"/>
        <w:rPr>
          <w:rFonts w:ascii="Bookman Old Style" w:hAnsi="Bookman Old Style" w:cs="Times New Roman"/>
          <w:sz w:val="24"/>
          <w:szCs w:val="24"/>
          <w:lang w:val="es-MX"/>
        </w:rPr>
      </w:pPr>
      <w:r w:rsidRPr="001A7C74">
        <w:rPr>
          <w:rFonts w:ascii="Bookman Old Style" w:hAnsi="Bookman Old Style" w:cs="Times New Roman"/>
          <w:sz w:val="24"/>
          <w:szCs w:val="24"/>
          <w:lang w:val="es-MX"/>
        </w:rPr>
        <w:t>De acuerdo con algunos doctrinantes</w:t>
      </w:r>
      <w:r w:rsidRPr="001A7C74">
        <w:rPr>
          <w:rStyle w:val="Refdenotaalpie"/>
          <w:rFonts w:ascii="Bookman Old Style" w:hAnsi="Bookman Old Style" w:cs="Times New Roman"/>
          <w:sz w:val="24"/>
          <w:szCs w:val="24"/>
          <w:lang w:val="es-MX"/>
        </w:rPr>
        <w:footnoteReference w:id="38"/>
      </w:r>
      <w:r w:rsidRPr="001A7C74">
        <w:rPr>
          <w:rFonts w:ascii="Bookman Old Style" w:hAnsi="Bookman Old Style" w:cs="Times New Roman"/>
          <w:sz w:val="24"/>
          <w:szCs w:val="24"/>
          <w:lang w:val="es-MX"/>
        </w:rPr>
        <w:t xml:space="preserve">, y como bien se ha señalado en la exposición de motivos, la soberanía alimentaria está estrechamente relacionada con el concepto de seguridad alimentaria, siendo la primera una forma de abordar la segunda. </w:t>
      </w:r>
    </w:p>
    <w:p w14:paraId="17F6B8DA" w14:textId="77777777" w:rsidR="003F7E77" w:rsidRPr="001A7C74" w:rsidRDefault="003F7E77" w:rsidP="003F7E77">
      <w:pPr>
        <w:spacing w:after="0" w:line="276" w:lineRule="auto"/>
        <w:jc w:val="both"/>
        <w:rPr>
          <w:rFonts w:ascii="Bookman Old Style" w:hAnsi="Bookman Old Style" w:cs="Times New Roman"/>
          <w:sz w:val="24"/>
          <w:szCs w:val="24"/>
          <w:lang w:val="es-MX"/>
        </w:rPr>
      </w:pPr>
    </w:p>
    <w:p w14:paraId="6F1E3877" w14:textId="77777777" w:rsidR="003F7E77" w:rsidRPr="001A7C74" w:rsidRDefault="003F7E77" w:rsidP="003F7E77">
      <w:pPr>
        <w:spacing w:after="0" w:line="276" w:lineRule="auto"/>
        <w:jc w:val="both"/>
        <w:rPr>
          <w:rFonts w:ascii="Bookman Old Style" w:hAnsi="Bookman Old Style" w:cs="Times New Roman"/>
          <w:sz w:val="24"/>
          <w:szCs w:val="24"/>
          <w:lang w:val="es-MX"/>
        </w:rPr>
      </w:pPr>
      <w:r w:rsidRPr="001A7C74">
        <w:rPr>
          <w:rFonts w:ascii="Bookman Old Style" w:hAnsi="Bookman Old Style" w:cs="Times New Roman"/>
          <w:sz w:val="24"/>
          <w:szCs w:val="24"/>
          <w:lang w:val="es-MX"/>
        </w:rPr>
        <w:t>A través de la soberanía alimentaria se materializa el elemento de disponibilidad del derecho a la alimentación consistente en la facultad de toda persona, pueblo o nación de satisfacer su necesidad alimentaria por sus propios medios, así como la obligación de los Estados de construir un entorno económico, político y social que permita a las comunidades alcanzar la seguridad alimentaria por sus propios medios – o autodeterminarse respecto de los medios que consideran más idóneos para ello – o de no adoptar medidas que tengan como resultado impedir, limitar o privar a las comunidades de las posibilidades de autoabastecerse.</w:t>
      </w:r>
    </w:p>
    <w:p w14:paraId="7569330D" w14:textId="77777777" w:rsidR="003F7E77" w:rsidRPr="001A7C74" w:rsidRDefault="003F7E77" w:rsidP="003F7E77">
      <w:pPr>
        <w:spacing w:after="0" w:line="276" w:lineRule="auto"/>
        <w:jc w:val="both"/>
        <w:rPr>
          <w:rFonts w:ascii="Bookman Old Style" w:hAnsi="Bookman Old Style" w:cs="Times New Roman"/>
          <w:sz w:val="24"/>
          <w:szCs w:val="24"/>
          <w:lang w:val="es-MX"/>
        </w:rPr>
      </w:pPr>
    </w:p>
    <w:p w14:paraId="5FD86372" w14:textId="77777777" w:rsidR="003F7E77" w:rsidRPr="001A7C74" w:rsidRDefault="003F7E77" w:rsidP="003F7E77">
      <w:pPr>
        <w:spacing w:after="0" w:line="276" w:lineRule="auto"/>
        <w:jc w:val="both"/>
        <w:rPr>
          <w:rFonts w:ascii="Bookman Old Style" w:hAnsi="Bookman Old Style" w:cs="Times New Roman"/>
          <w:sz w:val="24"/>
          <w:szCs w:val="24"/>
          <w:lang w:val="es-MX"/>
        </w:rPr>
      </w:pPr>
      <w:r w:rsidRPr="001A7C74">
        <w:rPr>
          <w:rFonts w:ascii="Bookman Old Style" w:hAnsi="Bookman Old Style" w:cs="Times New Roman"/>
          <w:sz w:val="24"/>
          <w:szCs w:val="24"/>
          <w:lang w:val="es-MX"/>
        </w:rPr>
        <w:t xml:space="preserve">Es así como puede concluirse que, para hablar de un derecho a la alimentación adecuada y a una efectiva protección contra el hambre y la desnutrición en el país, garantizar la seguridad alimentaria y la soberanía alimentaria – en los términos señalados por la Ley Marco aprobada en el </w:t>
      </w:r>
      <w:r w:rsidRPr="001A7C74">
        <w:rPr>
          <w:rFonts w:ascii="Bookman Old Style" w:hAnsi="Bookman Old Style" w:cs="Times New Roman"/>
          <w:sz w:val="24"/>
          <w:szCs w:val="24"/>
          <w:lang w:val="es-MX"/>
        </w:rPr>
        <w:lastRenderedPageBreak/>
        <w:t>seno del Parlamento Latinoamericano – se consideran prerrequisitos esenciales sin los cuales no se puede abordar debidamente este aspecto.</w:t>
      </w:r>
    </w:p>
    <w:p w14:paraId="0B6BF1A5" w14:textId="77777777" w:rsidR="003F7E77" w:rsidRPr="001A7C74" w:rsidRDefault="003F7E77" w:rsidP="003F7E77">
      <w:pPr>
        <w:spacing w:after="0" w:line="276" w:lineRule="auto"/>
        <w:jc w:val="both"/>
        <w:rPr>
          <w:rFonts w:ascii="Bookman Old Style" w:hAnsi="Bookman Old Style" w:cs="Times New Roman"/>
          <w:sz w:val="24"/>
          <w:szCs w:val="24"/>
          <w:lang w:val="es-MX"/>
        </w:rPr>
      </w:pPr>
    </w:p>
    <w:p w14:paraId="472209A1" w14:textId="77777777" w:rsidR="003F7E77" w:rsidRPr="001A7C74" w:rsidRDefault="003F7E77" w:rsidP="003F7E77">
      <w:pPr>
        <w:spacing w:after="0" w:line="276" w:lineRule="auto"/>
        <w:jc w:val="both"/>
        <w:rPr>
          <w:rFonts w:ascii="Bookman Old Style" w:hAnsi="Bookman Old Style" w:cs="Times New Roman"/>
          <w:sz w:val="24"/>
          <w:szCs w:val="24"/>
          <w:lang w:val="es-MX"/>
        </w:rPr>
      </w:pPr>
    </w:p>
    <w:p w14:paraId="42801290" w14:textId="2B187A48" w:rsidR="005F1407" w:rsidRDefault="00945AAB" w:rsidP="00945AAB">
      <w:pPr>
        <w:spacing w:after="0" w:line="276"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PLIEGO DE MODIFICACIONES</w:t>
      </w:r>
    </w:p>
    <w:p w14:paraId="7315EC55" w14:textId="77777777" w:rsidR="00945AAB" w:rsidRPr="00B327CE" w:rsidRDefault="00945AAB" w:rsidP="005F1407">
      <w:pPr>
        <w:spacing w:after="0" w:line="276" w:lineRule="auto"/>
        <w:jc w:val="both"/>
        <w:rPr>
          <w:rFonts w:ascii="Bookman Old Style" w:eastAsia="Times New Roman" w:hAnsi="Bookman Old Style" w:cs="Times New Roman"/>
          <w:b/>
          <w:sz w:val="24"/>
          <w:szCs w:val="24"/>
        </w:rPr>
      </w:pPr>
    </w:p>
    <w:tbl>
      <w:tblPr>
        <w:tblStyle w:val="Tablaconcuadrcula"/>
        <w:tblW w:w="0" w:type="auto"/>
        <w:tblLook w:val="04A0" w:firstRow="1" w:lastRow="0" w:firstColumn="1" w:lastColumn="0" w:noHBand="0" w:noVBand="1"/>
      </w:tblPr>
      <w:tblGrid>
        <w:gridCol w:w="4414"/>
        <w:gridCol w:w="4414"/>
      </w:tblGrid>
      <w:tr w:rsidR="005F1407" w:rsidRPr="00B327CE" w14:paraId="0241FB41" w14:textId="77777777" w:rsidTr="007C08BB">
        <w:tc>
          <w:tcPr>
            <w:tcW w:w="4414" w:type="dxa"/>
          </w:tcPr>
          <w:p w14:paraId="46550557" w14:textId="66639227" w:rsidR="005F1407" w:rsidRPr="00B327CE" w:rsidRDefault="005F1407" w:rsidP="007C08BB">
            <w:pPr>
              <w:spacing w:line="276" w:lineRule="auto"/>
              <w:jc w:val="center"/>
              <w:rPr>
                <w:rFonts w:ascii="Bookman Old Style" w:eastAsia="Times New Roman" w:hAnsi="Bookman Old Style" w:cs="Times New Roman"/>
                <w:b/>
                <w:sz w:val="24"/>
                <w:szCs w:val="24"/>
              </w:rPr>
            </w:pPr>
            <w:r w:rsidRPr="00B327CE">
              <w:rPr>
                <w:rFonts w:ascii="Bookman Old Style" w:eastAsia="Times New Roman" w:hAnsi="Bookman Old Style" w:cs="Times New Roman"/>
                <w:b/>
                <w:sz w:val="24"/>
                <w:szCs w:val="24"/>
              </w:rPr>
              <w:t xml:space="preserve">TEXTO </w:t>
            </w:r>
            <w:r>
              <w:rPr>
                <w:rFonts w:ascii="Bookman Old Style" w:eastAsia="Times New Roman" w:hAnsi="Bookman Old Style" w:cs="Times New Roman"/>
                <w:b/>
                <w:sz w:val="24"/>
                <w:szCs w:val="24"/>
              </w:rPr>
              <w:t>RADICADO</w:t>
            </w:r>
          </w:p>
        </w:tc>
        <w:tc>
          <w:tcPr>
            <w:tcW w:w="4414" w:type="dxa"/>
          </w:tcPr>
          <w:p w14:paraId="46BAAB14" w14:textId="77777777" w:rsidR="005F1407" w:rsidRPr="00B327CE" w:rsidRDefault="005F1407" w:rsidP="007C08BB">
            <w:pPr>
              <w:spacing w:line="276" w:lineRule="auto"/>
              <w:jc w:val="center"/>
              <w:rPr>
                <w:rFonts w:ascii="Bookman Old Style" w:eastAsia="Times New Roman" w:hAnsi="Bookman Old Style" w:cs="Times New Roman"/>
                <w:b/>
                <w:sz w:val="24"/>
                <w:szCs w:val="24"/>
              </w:rPr>
            </w:pPr>
            <w:r w:rsidRPr="00B327CE">
              <w:rPr>
                <w:rFonts w:ascii="Bookman Old Style" w:eastAsia="Times New Roman" w:hAnsi="Bookman Old Style" w:cs="Times New Roman"/>
                <w:b/>
                <w:sz w:val="24"/>
                <w:szCs w:val="24"/>
              </w:rPr>
              <w:t>TEXTO PROPUESTO PARA PRIMER DEBATE CÁMARA</w:t>
            </w:r>
          </w:p>
        </w:tc>
      </w:tr>
      <w:tr w:rsidR="005F1407" w:rsidRPr="00B327CE" w14:paraId="49A3D5C4" w14:textId="77777777" w:rsidTr="007C08BB">
        <w:tc>
          <w:tcPr>
            <w:tcW w:w="4414" w:type="dxa"/>
          </w:tcPr>
          <w:p w14:paraId="3850B00D" w14:textId="77777777" w:rsidR="005F1407" w:rsidRPr="00B327CE" w:rsidRDefault="005F1407" w:rsidP="007C08BB">
            <w:pPr>
              <w:spacing w:line="276" w:lineRule="auto"/>
              <w:rPr>
                <w:rFonts w:ascii="Bookman Old Style" w:hAnsi="Bookman Old Style" w:cs="Times New Roman"/>
                <w:sz w:val="24"/>
                <w:szCs w:val="24"/>
              </w:rPr>
            </w:pPr>
            <w:r w:rsidRPr="00B327CE">
              <w:rPr>
                <w:rFonts w:ascii="Bookman Old Style" w:hAnsi="Bookman Old Style" w:cs="Times New Roman"/>
                <w:b/>
                <w:bCs/>
                <w:sz w:val="24"/>
                <w:szCs w:val="24"/>
              </w:rPr>
              <w:t>Artículo 1º.</w:t>
            </w:r>
            <w:r w:rsidRPr="00B327CE">
              <w:rPr>
                <w:rFonts w:ascii="Bookman Old Style" w:hAnsi="Bookman Old Style" w:cs="Times New Roman"/>
                <w:sz w:val="24"/>
                <w:szCs w:val="24"/>
              </w:rPr>
              <w:t xml:space="preserve"> Modifíquese el artículo 65 de la Constitución Política de Colombia, el cual quedará así:</w:t>
            </w:r>
          </w:p>
          <w:p w14:paraId="0A7EA87D" w14:textId="77777777" w:rsidR="005F1407" w:rsidRPr="00B327CE" w:rsidRDefault="005F1407" w:rsidP="007C08BB">
            <w:pPr>
              <w:spacing w:line="276" w:lineRule="auto"/>
              <w:rPr>
                <w:rFonts w:ascii="Bookman Old Style" w:hAnsi="Bookman Old Style" w:cs="Times New Roman"/>
                <w:b/>
                <w:sz w:val="24"/>
                <w:szCs w:val="24"/>
              </w:rPr>
            </w:pPr>
          </w:p>
          <w:p w14:paraId="38126BA6" w14:textId="77777777" w:rsidR="005F1407" w:rsidRPr="00B327CE" w:rsidRDefault="005F1407" w:rsidP="007C08BB">
            <w:pPr>
              <w:spacing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 xml:space="preserve">Artículo 65. El Estado garantizará el derecho a la alimentación adecuada y a proteger a las personas contra el hambre y la desnutrición. Así mismo promoverá condiciones de seguridad alimentaria y soberanía alimentaria en el territorio nacional. </w:t>
            </w:r>
          </w:p>
          <w:p w14:paraId="35B88789" w14:textId="77777777" w:rsidR="005F1407" w:rsidRPr="00B327CE" w:rsidRDefault="005F1407" w:rsidP="007C08BB">
            <w:pPr>
              <w:spacing w:line="276" w:lineRule="auto"/>
              <w:jc w:val="both"/>
              <w:rPr>
                <w:rFonts w:ascii="Bookman Old Style" w:hAnsi="Bookman Old Style" w:cs="Times New Roman"/>
                <w:sz w:val="24"/>
                <w:szCs w:val="24"/>
              </w:rPr>
            </w:pPr>
          </w:p>
          <w:p w14:paraId="03347082" w14:textId="2E27E1EB" w:rsidR="005F1407" w:rsidRDefault="005F1407" w:rsidP="007C08BB">
            <w:pPr>
              <w:spacing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 xml:space="preserve">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w:t>
            </w:r>
          </w:p>
          <w:p w14:paraId="4B12B0FD" w14:textId="271CB1BA" w:rsidR="00945AAB" w:rsidRDefault="00945AAB" w:rsidP="007C08BB">
            <w:pPr>
              <w:spacing w:line="276" w:lineRule="auto"/>
              <w:jc w:val="both"/>
              <w:rPr>
                <w:rFonts w:ascii="Bookman Old Style" w:hAnsi="Bookman Old Style" w:cs="Times New Roman"/>
                <w:sz w:val="24"/>
                <w:szCs w:val="24"/>
              </w:rPr>
            </w:pPr>
          </w:p>
          <w:p w14:paraId="12DB01EB" w14:textId="76E54393" w:rsidR="00945AAB" w:rsidRDefault="00945AAB" w:rsidP="007C08BB">
            <w:pPr>
              <w:spacing w:line="276" w:lineRule="auto"/>
              <w:jc w:val="both"/>
              <w:rPr>
                <w:rFonts w:ascii="Bookman Old Style" w:hAnsi="Bookman Old Style" w:cs="Times New Roman"/>
                <w:sz w:val="24"/>
                <w:szCs w:val="24"/>
              </w:rPr>
            </w:pPr>
          </w:p>
          <w:p w14:paraId="545E48E0" w14:textId="401E978F" w:rsidR="00945AAB" w:rsidRDefault="00945AAB" w:rsidP="007C08BB">
            <w:pPr>
              <w:spacing w:line="276" w:lineRule="auto"/>
              <w:jc w:val="both"/>
              <w:rPr>
                <w:rFonts w:ascii="Bookman Old Style" w:hAnsi="Bookman Old Style" w:cs="Times New Roman"/>
                <w:sz w:val="24"/>
                <w:szCs w:val="24"/>
              </w:rPr>
            </w:pPr>
          </w:p>
          <w:p w14:paraId="70A92F26" w14:textId="2582BBB8" w:rsidR="00945AAB" w:rsidRDefault="00945AAB" w:rsidP="007C08BB">
            <w:pPr>
              <w:spacing w:line="276" w:lineRule="auto"/>
              <w:jc w:val="both"/>
              <w:rPr>
                <w:rFonts w:ascii="Bookman Old Style" w:hAnsi="Bookman Old Style" w:cs="Times New Roman"/>
                <w:sz w:val="24"/>
                <w:szCs w:val="24"/>
              </w:rPr>
            </w:pPr>
          </w:p>
          <w:p w14:paraId="23683F83" w14:textId="71594ADF" w:rsidR="00945AAB" w:rsidRDefault="00945AAB" w:rsidP="007C08BB">
            <w:pPr>
              <w:spacing w:line="276" w:lineRule="auto"/>
              <w:jc w:val="both"/>
              <w:rPr>
                <w:rFonts w:ascii="Bookman Old Style" w:hAnsi="Bookman Old Style" w:cs="Times New Roman"/>
                <w:sz w:val="24"/>
                <w:szCs w:val="24"/>
              </w:rPr>
            </w:pPr>
          </w:p>
          <w:p w14:paraId="099A3564" w14:textId="77777777" w:rsidR="00945AAB" w:rsidRPr="00B327CE" w:rsidRDefault="00945AAB" w:rsidP="007C08BB">
            <w:pPr>
              <w:spacing w:line="276" w:lineRule="auto"/>
              <w:jc w:val="both"/>
              <w:rPr>
                <w:rFonts w:ascii="Bookman Old Style" w:hAnsi="Bookman Old Style" w:cs="Times New Roman"/>
                <w:sz w:val="24"/>
                <w:szCs w:val="24"/>
              </w:rPr>
            </w:pPr>
          </w:p>
          <w:p w14:paraId="0DCCE79F" w14:textId="77777777" w:rsidR="005F1407" w:rsidRPr="00B327CE" w:rsidRDefault="005F1407" w:rsidP="007C08BB">
            <w:pPr>
              <w:spacing w:line="276" w:lineRule="auto"/>
              <w:jc w:val="both"/>
              <w:rPr>
                <w:rFonts w:ascii="Bookman Old Style" w:hAnsi="Bookman Old Style" w:cs="Times New Roman"/>
                <w:sz w:val="24"/>
                <w:szCs w:val="24"/>
              </w:rPr>
            </w:pPr>
          </w:p>
          <w:p w14:paraId="08DE81AE" w14:textId="77777777" w:rsidR="005F1407" w:rsidRPr="00B327CE" w:rsidRDefault="005F1407" w:rsidP="007C08BB">
            <w:pPr>
              <w:spacing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lastRenderedPageBreak/>
              <w:t>De igual manera, el Estado promoverá la investigación y la transferencia de tecnología para la producción de alimentos y materias primas de origen agropecuario, con el propósito de incrementar la productividad.</w:t>
            </w:r>
          </w:p>
          <w:p w14:paraId="5B219C31" w14:textId="77777777" w:rsidR="005F1407" w:rsidRPr="00B327CE" w:rsidRDefault="005F1407" w:rsidP="007C08BB">
            <w:pPr>
              <w:spacing w:line="276" w:lineRule="auto"/>
              <w:jc w:val="both"/>
              <w:rPr>
                <w:rFonts w:ascii="Bookman Old Style" w:hAnsi="Bookman Old Style" w:cs="Times New Roman"/>
                <w:sz w:val="24"/>
                <w:szCs w:val="24"/>
              </w:rPr>
            </w:pPr>
          </w:p>
          <w:p w14:paraId="3371F58B" w14:textId="77777777" w:rsidR="005F1407" w:rsidRPr="00B327CE" w:rsidRDefault="005F1407" w:rsidP="007C08BB">
            <w:pPr>
              <w:spacing w:line="276" w:lineRule="auto"/>
              <w:jc w:val="both"/>
              <w:rPr>
                <w:rFonts w:ascii="Bookman Old Style" w:hAnsi="Bookman Old Style" w:cs="Times New Roman"/>
                <w:sz w:val="24"/>
                <w:szCs w:val="24"/>
              </w:rPr>
            </w:pPr>
          </w:p>
          <w:p w14:paraId="35E5A4FF" w14:textId="77777777" w:rsidR="005F1407" w:rsidRPr="00B327CE" w:rsidRDefault="005F1407" w:rsidP="007C08BB">
            <w:pPr>
              <w:spacing w:line="276" w:lineRule="auto"/>
              <w:jc w:val="both"/>
              <w:rPr>
                <w:rFonts w:ascii="Bookman Old Style" w:hAnsi="Bookman Old Style" w:cs="Times New Roman"/>
                <w:sz w:val="24"/>
                <w:szCs w:val="24"/>
              </w:rPr>
            </w:pPr>
          </w:p>
          <w:p w14:paraId="45F799C3" w14:textId="77777777" w:rsidR="005F1407" w:rsidRPr="00B327CE" w:rsidRDefault="005F1407" w:rsidP="007C08BB">
            <w:pPr>
              <w:spacing w:line="276" w:lineRule="auto"/>
              <w:jc w:val="both"/>
              <w:rPr>
                <w:rFonts w:ascii="Bookman Old Style" w:hAnsi="Bookman Old Style" w:cs="Times New Roman"/>
                <w:sz w:val="24"/>
                <w:szCs w:val="24"/>
              </w:rPr>
            </w:pPr>
          </w:p>
          <w:p w14:paraId="46D2A07C" w14:textId="77777777" w:rsidR="005F1407" w:rsidRPr="00B327CE" w:rsidRDefault="005F1407" w:rsidP="007C08BB">
            <w:pPr>
              <w:spacing w:line="276" w:lineRule="auto"/>
              <w:jc w:val="both"/>
              <w:rPr>
                <w:rFonts w:ascii="Bookman Old Style" w:hAnsi="Bookman Old Style" w:cs="Times New Roman"/>
                <w:b/>
                <w:sz w:val="24"/>
                <w:szCs w:val="24"/>
              </w:rPr>
            </w:pPr>
          </w:p>
          <w:p w14:paraId="19639C4D" w14:textId="77777777" w:rsidR="005F1407" w:rsidRPr="00B327CE" w:rsidRDefault="005F1407" w:rsidP="007C08BB">
            <w:pPr>
              <w:spacing w:line="276" w:lineRule="auto"/>
              <w:jc w:val="both"/>
              <w:rPr>
                <w:rFonts w:ascii="Bookman Old Style" w:eastAsia="Times New Roman" w:hAnsi="Bookman Old Style" w:cs="Times New Roman"/>
                <w:b/>
                <w:sz w:val="24"/>
                <w:szCs w:val="24"/>
              </w:rPr>
            </w:pPr>
          </w:p>
        </w:tc>
        <w:tc>
          <w:tcPr>
            <w:tcW w:w="4414" w:type="dxa"/>
          </w:tcPr>
          <w:p w14:paraId="1D6FF4FD" w14:textId="77777777" w:rsidR="005F1407" w:rsidRPr="00B327CE" w:rsidRDefault="005F1407" w:rsidP="007C08BB">
            <w:pPr>
              <w:spacing w:line="276" w:lineRule="auto"/>
              <w:rPr>
                <w:rFonts w:ascii="Bookman Old Style" w:hAnsi="Bookman Old Style" w:cs="Times New Roman"/>
                <w:sz w:val="24"/>
                <w:szCs w:val="24"/>
              </w:rPr>
            </w:pPr>
            <w:r w:rsidRPr="00B327CE">
              <w:rPr>
                <w:rFonts w:ascii="Bookman Old Style" w:hAnsi="Bookman Old Style" w:cs="Times New Roman"/>
                <w:b/>
                <w:bCs/>
                <w:sz w:val="24"/>
                <w:szCs w:val="24"/>
              </w:rPr>
              <w:lastRenderedPageBreak/>
              <w:t>Artículo 1º.</w:t>
            </w:r>
            <w:r w:rsidRPr="00B327CE">
              <w:rPr>
                <w:rFonts w:ascii="Bookman Old Style" w:hAnsi="Bookman Old Style" w:cs="Times New Roman"/>
                <w:sz w:val="24"/>
                <w:szCs w:val="24"/>
              </w:rPr>
              <w:t xml:space="preserve"> Modifíquese el artículo 65 de la Constitución Política de Colombia, el cual quedará así:</w:t>
            </w:r>
          </w:p>
          <w:p w14:paraId="6B165E88" w14:textId="77777777" w:rsidR="005F1407" w:rsidRPr="00B327CE" w:rsidRDefault="005F1407" w:rsidP="007C08BB">
            <w:pPr>
              <w:spacing w:line="276" w:lineRule="auto"/>
              <w:rPr>
                <w:rFonts w:ascii="Bookman Old Style" w:hAnsi="Bookman Old Style" w:cs="Times New Roman"/>
                <w:b/>
                <w:sz w:val="24"/>
                <w:szCs w:val="24"/>
              </w:rPr>
            </w:pPr>
          </w:p>
          <w:p w14:paraId="54357254" w14:textId="77777777" w:rsidR="005F1407" w:rsidRPr="00B327CE" w:rsidRDefault="005F1407" w:rsidP="007C08BB">
            <w:pPr>
              <w:spacing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t xml:space="preserve">Artículo 65. El Estado garantizará el derecho a la alimentación adecuada y a proteger a las personas contra el hambre y la desnutrición. Así mismo promoverá condiciones de seguridad alimentaria y soberanía alimentaria en el territorio nacional. </w:t>
            </w:r>
          </w:p>
          <w:p w14:paraId="216FE226" w14:textId="77777777" w:rsidR="005F1407" w:rsidRPr="00B327CE" w:rsidRDefault="005F1407" w:rsidP="007C08BB">
            <w:pPr>
              <w:spacing w:line="276" w:lineRule="auto"/>
              <w:jc w:val="both"/>
              <w:rPr>
                <w:rFonts w:ascii="Bookman Old Style" w:hAnsi="Bookman Old Style" w:cs="Times New Roman"/>
                <w:sz w:val="24"/>
                <w:szCs w:val="24"/>
              </w:rPr>
            </w:pPr>
          </w:p>
          <w:p w14:paraId="5C439947" w14:textId="77777777" w:rsidR="005F1407" w:rsidRPr="00945AAB" w:rsidRDefault="005F1407" w:rsidP="007C08BB">
            <w:pPr>
              <w:spacing w:line="276" w:lineRule="auto"/>
              <w:jc w:val="both"/>
              <w:rPr>
                <w:rFonts w:ascii="Bookman Old Style" w:hAnsi="Bookman Old Style" w:cs="Times New Roman"/>
                <w:b/>
                <w:bCs/>
                <w:sz w:val="24"/>
                <w:szCs w:val="24"/>
              </w:rPr>
            </w:pPr>
            <w:r w:rsidRPr="00B327CE">
              <w:rPr>
                <w:rFonts w:ascii="Bookman Old Style" w:hAnsi="Bookman Old Style" w:cs="Times New Roman"/>
                <w:sz w:val="24"/>
                <w:szCs w:val="24"/>
              </w:rPr>
              <w:t xml:space="preserve">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w:t>
            </w:r>
            <w:r w:rsidRPr="00945AAB">
              <w:rPr>
                <w:rFonts w:ascii="Bookman Old Style" w:hAnsi="Bookman Old Style" w:cs="Times New Roman"/>
                <w:b/>
                <w:bCs/>
                <w:sz w:val="24"/>
                <w:szCs w:val="24"/>
              </w:rPr>
              <w:t>El Estado definirá una estrategia para el acompañamiento de las cadenas de producción y distribución nacional de alimentos, así como para evitar la pérdida de los mismos.</w:t>
            </w:r>
          </w:p>
          <w:p w14:paraId="285C31F4" w14:textId="77777777" w:rsidR="005F1407" w:rsidRPr="00B327CE" w:rsidRDefault="005F1407" w:rsidP="007C08BB">
            <w:pPr>
              <w:spacing w:line="276" w:lineRule="auto"/>
              <w:jc w:val="both"/>
              <w:rPr>
                <w:rFonts w:ascii="Bookman Old Style" w:hAnsi="Bookman Old Style" w:cs="Times New Roman"/>
                <w:sz w:val="24"/>
                <w:szCs w:val="24"/>
              </w:rPr>
            </w:pPr>
          </w:p>
          <w:p w14:paraId="73F52C76" w14:textId="77777777" w:rsidR="005F1407" w:rsidRPr="00B327CE" w:rsidRDefault="005F1407" w:rsidP="007C08BB">
            <w:pPr>
              <w:spacing w:line="276" w:lineRule="auto"/>
              <w:jc w:val="both"/>
              <w:rPr>
                <w:rFonts w:ascii="Bookman Old Style" w:hAnsi="Bookman Old Style" w:cs="Times New Roman"/>
                <w:sz w:val="24"/>
                <w:szCs w:val="24"/>
              </w:rPr>
            </w:pPr>
            <w:r w:rsidRPr="00B327CE">
              <w:rPr>
                <w:rFonts w:ascii="Bookman Old Style" w:hAnsi="Bookman Old Style" w:cs="Times New Roman"/>
                <w:sz w:val="24"/>
                <w:szCs w:val="24"/>
              </w:rPr>
              <w:lastRenderedPageBreak/>
              <w:t>De igual manera, el Estado promoverá la investigación y la transferencia de tecnología para la producción de alimentos y materias primas de origen agropecuario, con el propósito de incrementar la productividad</w:t>
            </w:r>
            <w:r w:rsidRPr="00B327CE">
              <w:rPr>
                <w:rFonts w:ascii="Bookman Old Style" w:hAnsi="Bookman Old Style" w:cs="Times New Roman"/>
                <w:b/>
                <w:bCs/>
                <w:strike/>
                <w:sz w:val="24"/>
                <w:szCs w:val="24"/>
              </w:rPr>
              <w:t xml:space="preserve">. </w:t>
            </w:r>
            <w:r w:rsidRPr="00B327CE">
              <w:rPr>
                <w:rFonts w:ascii="Bookman Old Style" w:hAnsi="Bookman Old Style" w:cs="Times New Roman"/>
                <w:b/>
                <w:bCs/>
                <w:sz w:val="24"/>
                <w:szCs w:val="24"/>
                <w:u w:val="single"/>
              </w:rPr>
              <w:t>, dando prioridad a las formas de producción de alimentos que estén acorde con una dieta saludable y que generen un menor impacto ambiental.</w:t>
            </w:r>
          </w:p>
          <w:p w14:paraId="1FB7AE5E" w14:textId="77777777" w:rsidR="005F1407" w:rsidRPr="00B327CE" w:rsidRDefault="005F1407" w:rsidP="007C08BB">
            <w:pPr>
              <w:spacing w:line="276" w:lineRule="auto"/>
              <w:jc w:val="both"/>
              <w:rPr>
                <w:rFonts w:ascii="Bookman Old Style" w:hAnsi="Bookman Old Style" w:cs="Times New Roman"/>
                <w:sz w:val="24"/>
                <w:szCs w:val="24"/>
              </w:rPr>
            </w:pPr>
          </w:p>
          <w:p w14:paraId="64A91D98" w14:textId="77777777" w:rsidR="005F1407" w:rsidRPr="00B327CE" w:rsidRDefault="005F1407" w:rsidP="007C08BB">
            <w:pPr>
              <w:spacing w:line="276" w:lineRule="auto"/>
              <w:jc w:val="both"/>
              <w:rPr>
                <w:rFonts w:ascii="Bookman Old Style" w:hAnsi="Bookman Old Style" w:cs="Times New Roman"/>
                <w:b/>
                <w:sz w:val="24"/>
                <w:szCs w:val="24"/>
              </w:rPr>
            </w:pPr>
          </w:p>
          <w:p w14:paraId="46E13B11" w14:textId="77777777" w:rsidR="005F1407" w:rsidRPr="00B327CE" w:rsidRDefault="005F1407" w:rsidP="007C08BB">
            <w:pPr>
              <w:spacing w:line="276" w:lineRule="auto"/>
              <w:jc w:val="both"/>
              <w:rPr>
                <w:rFonts w:ascii="Bookman Old Style" w:eastAsia="Times New Roman" w:hAnsi="Bookman Old Style" w:cs="Times New Roman"/>
                <w:b/>
                <w:sz w:val="24"/>
                <w:szCs w:val="24"/>
              </w:rPr>
            </w:pPr>
          </w:p>
        </w:tc>
      </w:tr>
    </w:tbl>
    <w:p w14:paraId="2DF5E142" w14:textId="77777777" w:rsidR="003F7E77" w:rsidRPr="001A7C74" w:rsidRDefault="003F7E77" w:rsidP="003F7E77">
      <w:pPr>
        <w:spacing w:after="0" w:line="276" w:lineRule="auto"/>
        <w:jc w:val="both"/>
        <w:rPr>
          <w:rFonts w:ascii="Bookman Old Style" w:eastAsia="Times New Roman" w:hAnsi="Bookman Old Style" w:cs="Times New Roman"/>
          <w:b/>
          <w:sz w:val="24"/>
          <w:szCs w:val="24"/>
          <w:highlight w:val="yellow"/>
        </w:rPr>
      </w:pPr>
    </w:p>
    <w:p w14:paraId="4CCF5E91" w14:textId="77777777" w:rsidR="003F7E77" w:rsidRPr="001A7C74" w:rsidRDefault="003F7E77" w:rsidP="005F1407">
      <w:pPr>
        <w:pStyle w:val="Prrafodelista"/>
        <w:numPr>
          <w:ilvl w:val="0"/>
          <w:numId w:val="8"/>
        </w:numPr>
        <w:spacing w:line="276" w:lineRule="auto"/>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Impedimentos</w:t>
      </w:r>
    </w:p>
    <w:p w14:paraId="4A6BC65A" w14:textId="77777777" w:rsidR="003F7E77" w:rsidRPr="001A7C74" w:rsidRDefault="003F7E77" w:rsidP="003F7E77">
      <w:pPr>
        <w:spacing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Salvo mejor criterio, tomando en consideración el carácter abstracto de la propuesta de reforma constitucional y el beneficio general que se lograría con su aprobación, no se encuentra circunstancia alguna que pueda eventualmente constituirse en un conflicto de interés para los congresistas.</w:t>
      </w:r>
    </w:p>
    <w:p w14:paraId="23A55732" w14:textId="77777777" w:rsidR="003F7E77" w:rsidRPr="001A7C74" w:rsidRDefault="003F7E77" w:rsidP="005F1407">
      <w:pPr>
        <w:pStyle w:val="Prrafodelista"/>
        <w:numPr>
          <w:ilvl w:val="0"/>
          <w:numId w:val="8"/>
        </w:numPr>
        <w:spacing w:after="0" w:line="276" w:lineRule="auto"/>
        <w:jc w:val="both"/>
        <w:rPr>
          <w:rFonts w:ascii="Bookman Old Style" w:eastAsia="Times New Roman" w:hAnsi="Bookman Old Style" w:cs="Times New Roman"/>
          <w:b/>
          <w:sz w:val="24"/>
          <w:szCs w:val="24"/>
        </w:rPr>
      </w:pPr>
      <w:r w:rsidRPr="001A7C74">
        <w:rPr>
          <w:rFonts w:ascii="Bookman Old Style" w:eastAsia="Times New Roman" w:hAnsi="Bookman Old Style" w:cs="Times New Roman"/>
          <w:b/>
          <w:sz w:val="24"/>
          <w:szCs w:val="24"/>
        </w:rPr>
        <w:t>Proposición</w:t>
      </w:r>
    </w:p>
    <w:p w14:paraId="190ECD3E" w14:textId="77777777" w:rsidR="003F7E77" w:rsidRPr="001A7C74" w:rsidRDefault="003F7E77" w:rsidP="003F7E77">
      <w:pPr>
        <w:spacing w:after="0" w:line="276" w:lineRule="auto"/>
        <w:jc w:val="both"/>
        <w:rPr>
          <w:rFonts w:ascii="Bookman Old Style" w:hAnsi="Bookman Old Style" w:cs="Times New Roman"/>
          <w:sz w:val="24"/>
          <w:szCs w:val="24"/>
        </w:rPr>
      </w:pPr>
    </w:p>
    <w:p w14:paraId="67E48037" w14:textId="7623AE74" w:rsidR="003F7E77" w:rsidRDefault="003F7E77" w:rsidP="003F7E77">
      <w:pPr>
        <w:spacing w:after="0" w:line="276" w:lineRule="auto"/>
        <w:jc w:val="both"/>
        <w:rPr>
          <w:rFonts w:ascii="Bookman Old Style" w:hAnsi="Bookman Old Style" w:cs="Times New Roman"/>
          <w:sz w:val="24"/>
          <w:szCs w:val="24"/>
          <w:lang w:val="es-MX"/>
        </w:rPr>
      </w:pPr>
      <w:r w:rsidRPr="001A7C74">
        <w:rPr>
          <w:rFonts w:ascii="Bookman Old Style" w:hAnsi="Bookman Old Style" w:cs="Times New Roman"/>
          <w:sz w:val="24"/>
          <w:szCs w:val="24"/>
        </w:rPr>
        <w:t xml:space="preserve">Con fundamento en las anteriores consideraciones, de manera respetuosa me permito rendir ponencia positiva y, por tanto, solicitar a la Comisión Primera Constitucional Permanente de la Cámara de Representantes dar </w:t>
      </w:r>
      <w:r w:rsidR="00945AAB">
        <w:rPr>
          <w:rFonts w:ascii="Bookman Old Style" w:hAnsi="Bookman Old Style" w:cs="Times New Roman"/>
          <w:sz w:val="24"/>
          <w:szCs w:val="24"/>
        </w:rPr>
        <w:t>primer</w:t>
      </w:r>
      <w:r w:rsidRPr="001A7C74">
        <w:rPr>
          <w:rFonts w:ascii="Bookman Old Style" w:hAnsi="Bookman Old Style" w:cs="Times New Roman"/>
          <w:sz w:val="24"/>
          <w:szCs w:val="24"/>
        </w:rPr>
        <w:t xml:space="preserve"> Debate al Proyecto de Acto Legislativo </w:t>
      </w:r>
      <w:r w:rsidR="00945AAB">
        <w:rPr>
          <w:rFonts w:ascii="Bookman Old Style" w:hAnsi="Bookman Old Style" w:cs="Times New Roman"/>
          <w:sz w:val="24"/>
          <w:szCs w:val="24"/>
        </w:rPr>
        <w:t>444</w:t>
      </w:r>
      <w:r w:rsidRPr="001A7C74">
        <w:rPr>
          <w:rFonts w:ascii="Bookman Old Style" w:hAnsi="Bookman Old Style" w:cs="Times New Roman"/>
          <w:sz w:val="24"/>
          <w:szCs w:val="24"/>
        </w:rPr>
        <w:t xml:space="preserve"> de 202</w:t>
      </w:r>
      <w:r w:rsidR="00945AAB">
        <w:rPr>
          <w:rFonts w:ascii="Bookman Old Style" w:hAnsi="Bookman Old Style" w:cs="Times New Roman"/>
          <w:sz w:val="24"/>
          <w:szCs w:val="24"/>
        </w:rPr>
        <w:t>2</w:t>
      </w:r>
      <w:r w:rsidRPr="001A7C74">
        <w:rPr>
          <w:rFonts w:ascii="Bookman Old Style" w:hAnsi="Bookman Old Style" w:cs="Times New Roman"/>
          <w:sz w:val="24"/>
          <w:szCs w:val="24"/>
        </w:rPr>
        <w:t xml:space="preserve"> Cámara </w:t>
      </w:r>
      <w:r w:rsidRPr="001A7C74">
        <w:rPr>
          <w:rFonts w:ascii="Bookman Old Style" w:hAnsi="Bookman Old Style" w:cs="Times New Roman"/>
          <w:sz w:val="24"/>
          <w:szCs w:val="24"/>
          <w:lang w:val="es-MX"/>
        </w:rPr>
        <w:t>“Por el cual se modifica el artículo 65 de la Constitución Política de Colombia”.</w:t>
      </w:r>
    </w:p>
    <w:p w14:paraId="44179CC4" w14:textId="77777777" w:rsidR="003F7E77" w:rsidRPr="001A7C74" w:rsidRDefault="003F7E77" w:rsidP="003F7E77">
      <w:pPr>
        <w:spacing w:after="0" w:line="276" w:lineRule="auto"/>
        <w:jc w:val="both"/>
        <w:rPr>
          <w:rFonts w:ascii="Bookman Old Style" w:hAnsi="Bookman Old Style" w:cs="Times New Roman"/>
          <w:sz w:val="24"/>
          <w:szCs w:val="24"/>
          <w:lang w:val="es-MX"/>
        </w:rPr>
      </w:pPr>
    </w:p>
    <w:p w14:paraId="58E5DC6D" w14:textId="77777777" w:rsidR="003F7E77" w:rsidRPr="001A7C74" w:rsidRDefault="003F7E77" w:rsidP="003F7E77">
      <w:pPr>
        <w:spacing w:after="0" w:line="276" w:lineRule="auto"/>
        <w:jc w:val="both"/>
        <w:rPr>
          <w:rFonts w:ascii="Bookman Old Style" w:hAnsi="Bookman Old Style" w:cs="Times New Roman"/>
          <w:b/>
          <w:sz w:val="24"/>
          <w:szCs w:val="24"/>
        </w:rPr>
      </w:pPr>
    </w:p>
    <w:p w14:paraId="0546178B" w14:textId="77777777" w:rsidR="003F7E77" w:rsidRPr="001A7C74" w:rsidRDefault="003F7E77" w:rsidP="003F7E77">
      <w:pPr>
        <w:spacing w:after="0" w:line="276" w:lineRule="auto"/>
        <w:jc w:val="both"/>
        <w:rPr>
          <w:rFonts w:ascii="Bookman Old Style" w:hAnsi="Bookman Old Style" w:cs="Times New Roman"/>
          <w:b/>
          <w:sz w:val="24"/>
          <w:szCs w:val="24"/>
        </w:rPr>
      </w:pPr>
    </w:p>
    <w:p w14:paraId="6D01F015" w14:textId="77777777" w:rsidR="003F7E77" w:rsidRPr="001A7C74" w:rsidRDefault="003F7E77" w:rsidP="003F7E77">
      <w:pPr>
        <w:spacing w:after="0" w:line="276" w:lineRule="auto"/>
        <w:jc w:val="both"/>
        <w:rPr>
          <w:rFonts w:ascii="Bookman Old Style" w:hAnsi="Bookman Old Style" w:cs="Times New Roman"/>
          <w:b/>
          <w:sz w:val="24"/>
          <w:szCs w:val="24"/>
        </w:rPr>
      </w:pPr>
    </w:p>
    <w:p w14:paraId="7E64457E" w14:textId="77777777" w:rsidR="003F7E77" w:rsidRPr="001A7C74" w:rsidRDefault="003F7E77" w:rsidP="003F7E77">
      <w:pPr>
        <w:spacing w:after="0" w:line="276" w:lineRule="auto"/>
        <w:jc w:val="both"/>
        <w:rPr>
          <w:rFonts w:ascii="Bookman Old Style" w:hAnsi="Bookman Old Style" w:cs="Times New Roman"/>
          <w:b/>
          <w:sz w:val="24"/>
          <w:szCs w:val="24"/>
        </w:rPr>
      </w:pPr>
    </w:p>
    <w:p w14:paraId="67CAFA51" w14:textId="77777777" w:rsidR="003F7E77" w:rsidRPr="001A7C74" w:rsidRDefault="003F7E77" w:rsidP="003F7E77">
      <w:pPr>
        <w:spacing w:after="0" w:line="276" w:lineRule="auto"/>
        <w:jc w:val="both"/>
        <w:rPr>
          <w:rFonts w:ascii="Bookman Old Style" w:hAnsi="Bookman Old Style" w:cs="Times New Roman"/>
          <w:b/>
          <w:sz w:val="24"/>
          <w:szCs w:val="24"/>
        </w:rPr>
      </w:pPr>
    </w:p>
    <w:p w14:paraId="70F1E5E4" w14:textId="77777777" w:rsidR="003F7E77" w:rsidRPr="001A7C74" w:rsidRDefault="003F7E77" w:rsidP="003F7E77">
      <w:pPr>
        <w:spacing w:after="0" w:line="276" w:lineRule="auto"/>
        <w:jc w:val="center"/>
        <w:rPr>
          <w:rFonts w:ascii="Bookman Old Style" w:hAnsi="Bookman Old Style" w:cs="Times New Roman"/>
          <w:b/>
          <w:sz w:val="24"/>
          <w:szCs w:val="24"/>
        </w:rPr>
      </w:pPr>
      <w:r w:rsidRPr="001A7C74">
        <w:rPr>
          <w:rFonts w:ascii="Bookman Old Style" w:hAnsi="Bookman Old Style" w:cs="Times New Roman"/>
          <w:b/>
          <w:sz w:val="24"/>
          <w:szCs w:val="24"/>
        </w:rPr>
        <w:t>JUAN CARLOS LOSADA VARGAS</w:t>
      </w:r>
    </w:p>
    <w:p w14:paraId="0B0D4E52" w14:textId="77777777" w:rsidR="003F7E77" w:rsidRPr="001A7C74" w:rsidRDefault="003F7E77" w:rsidP="003F7E77">
      <w:pPr>
        <w:spacing w:after="0" w:line="276" w:lineRule="auto"/>
        <w:jc w:val="center"/>
        <w:rPr>
          <w:rFonts w:ascii="Bookman Old Style" w:hAnsi="Bookman Old Style" w:cs="Times New Roman"/>
          <w:sz w:val="24"/>
          <w:szCs w:val="24"/>
        </w:rPr>
      </w:pPr>
      <w:r w:rsidRPr="001A7C74">
        <w:rPr>
          <w:rFonts w:ascii="Bookman Old Style" w:hAnsi="Bookman Old Style" w:cs="Times New Roman"/>
          <w:sz w:val="24"/>
          <w:szCs w:val="24"/>
        </w:rPr>
        <w:t>Representante a la Cámara.</w:t>
      </w:r>
    </w:p>
    <w:p w14:paraId="1882683F" w14:textId="77777777" w:rsidR="003F7E77" w:rsidRPr="001A7C74" w:rsidRDefault="003F7E77" w:rsidP="003F7E77">
      <w:pPr>
        <w:spacing w:after="0" w:line="276" w:lineRule="auto"/>
        <w:jc w:val="center"/>
        <w:rPr>
          <w:rFonts w:ascii="Bookman Old Style" w:hAnsi="Bookman Old Style" w:cs="Times New Roman"/>
          <w:sz w:val="24"/>
          <w:szCs w:val="24"/>
        </w:rPr>
      </w:pPr>
      <w:r w:rsidRPr="001A7C74">
        <w:rPr>
          <w:rFonts w:ascii="Bookman Old Style" w:hAnsi="Bookman Old Style" w:cs="Times New Roman"/>
          <w:sz w:val="24"/>
          <w:szCs w:val="24"/>
        </w:rPr>
        <w:t>Ponente.</w:t>
      </w:r>
    </w:p>
    <w:p w14:paraId="5DE6052A" w14:textId="77777777" w:rsidR="003F7E77" w:rsidRPr="001A7C74" w:rsidRDefault="003F7E77" w:rsidP="003F7E77">
      <w:pPr>
        <w:rPr>
          <w:rFonts w:ascii="Bookman Old Style" w:hAnsi="Bookman Old Style" w:cs="Times New Roman"/>
          <w:sz w:val="24"/>
          <w:szCs w:val="24"/>
        </w:rPr>
      </w:pPr>
      <w:r w:rsidRPr="001A7C74">
        <w:rPr>
          <w:rFonts w:ascii="Bookman Old Style" w:hAnsi="Bookman Old Style" w:cs="Times New Roman"/>
          <w:sz w:val="24"/>
          <w:szCs w:val="24"/>
        </w:rPr>
        <w:lastRenderedPageBreak/>
        <w:br w:type="page"/>
      </w:r>
    </w:p>
    <w:p w14:paraId="5C60F2A6" w14:textId="77777777" w:rsidR="003F7E77" w:rsidRPr="001A7C74" w:rsidRDefault="003F7E77" w:rsidP="003F7E77">
      <w:pPr>
        <w:spacing w:after="0" w:line="276" w:lineRule="auto"/>
        <w:jc w:val="both"/>
        <w:rPr>
          <w:rFonts w:ascii="Bookman Old Style" w:hAnsi="Bookman Old Style" w:cs="Times New Roman"/>
          <w:sz w:val="24"/>
          <w:szCs w:val="24"/>
        </w:rPr>
      </w:pPr>
    </w:p>
    <w:p w14:paraId="0E49B4B5" w14:textId="77777777" w:rsidR="003F7E77" w:rsidRPr="001A7C74" w:rsidRDefault="003F7E77" w:rsidP="003F7E77">
      <w:pPr>
        <w:spacing w:after="0" w:line="276" w:lineRule="auto"/>
        <w:jc w:val="both"/>
        <w:rPr>
          <w:rFonts w:ascii="Bookman Old Style" w:hAnsi="Bookman Old Style" w:cs="Times New Roman"/>
          <w:b/>
          <w:sz w:val="24"/>
          <w:szCs w:val="24"/>
        </w:rPr>
      </w:pPr>
    </w:p>
    <w:p w14:paraId="3CA63488" w14:textId="51E88828" w:rsidR="003F7E77" w:rsidRPr="001A7C74" w:rsidRDefault="003F7E77" w:rsidP="005F1407">
      <w:pPr>
        <w:pStyle w:val="Prrafodelista"/>
        <w:numPr>
          <w:ilvl w:val="0"/>
          <w:numId w:val="8"/>
        </w:numPr>
        <w:spacing w:after="0" w:line="276" w:lineRule="auto"/>
        <w:jc w:val="both"/>
        <w:rPr>
          <w:rFonts w:ascii="Bookman Old Style" w:hAnsi="Bookman Old Style" w:cs="Times New Roman"/>
          <w:b/>
          <w:sz w:val="24"/>
          <w:szCs w:val="24"/>
        </w:rPr>
      </w:pPr>
      <w:r w:rsidRPr="001A7C74">
        <w:rPr>
          <w:rFonts w:ascii="Bookman Old Style" w:hAnsi="Bookman Old Style" w:cs="Times New Roman"/>
          <w:b/>
          <w:sz w:val="24"/>
          <w:szCs w:val="24"/>
        </w:rPr>
        <w:t xml:space="preserve">TEXTO PROPUESTO PARA </w:t>
      </w:r>
      <w:r w:rsidR="00945AAB">
        <w:rPr>
          <w:rFonts w:ascii="Bookman Old Style" w:hAnsi="Bookman Old Style" w:cs="Times New Roman"/>
          <w:b/>
          <w:sz w:val="24"/>
          <w:szCs w:val="24"/>
        </w:rPr>
        <w:t>PRIMER</w:t>
      </w:r>
      <w:r w:rsidRPr="001A7C74">
        <w:rPr>
          <w:rFonts w:ascii="Bookman Old Style" w:hAnsi="Bookman Old Style" w:cs="Times New Roman"/>
          <w:b/>
          <w:sz w:val="24"/>
          <w:szCs w:val="24"/>
        </w:rPr>
        <w:t xml:space="preserve"> DEBATE PROYECTO DE ACTO LEGISLATIVO </w:t>
      </w:r>
      <w:r w:rsidR="00945AAB">
        <w:rPr>
          <w:rFonts w:ascii="Bookman Old Style" w:hAnsi="Bookman Old Style" w:cs="Times New Roman"/>
          <w:b/>
          <w:sz w:val="24"/>
          <w:szCs w:val="24"/>
        </w:rPr>
        <w:t>444</w:t>
      </w:r>
      <w:r w:rsidRPr="001A7C74">
        <w:rPr>
          <w:rFonts w:ascii="Bookman Old Style" w:hAnsi="Bookman Old Style" w:cs="Times New Roman"/>
          <w:b/>
          <w:sz w:val="24"/>
          <w:szCs w:val="24"/>
        </w:rPr>
        <w:t xml:space="preserve"> DE 202</w:t>
      </w:r>
      <w:r w:rsidR="00945AAB">
        <w:rPr>
          <w:rFonts w:ascii="Bookman Old Style" w:hAnsi="Bookman Old Style" w:cs="Times New Roman"/>
          <w:b/>
          <w:sz w:val="24"/>
          <w:szCs w:val="24"/>
        </w:rPr>
        <w:t>2</w:t>
      </w:r>
      <w:r w:rsidRPr="001A7C74">
        <w:rPr>
          <w:rFonts w:ascii="Bookman Old Style" w:hAnsi="Bookman Old Style" w:cs="Times New Roman"/>
          <w:b/>
          <w:sz w:val="24"/>
          <w:szCs w:val="24"/>
        </w:rPr>
        <w:t xml:space="preserve"> CÁMARA </w:t>
      </w:r>
      <w:r w:rsidRPr="001A7C74">
        <w:rPr>
          <w:rFonts w:ascii="Bookman Old Style" w:hAnsi="Bookman Old Style" w:cs="Times New Roman"/>
          <w:bCs/>
          <w:sz w:val="24"/>
          <w:szCs w:val="24"/>
        </w:rPr>
        <w:t>“Por el cual se modifica el artículo 65 de la Constitución Política de Colombia”</w:t>
      </w:r>
    </w:p>
    <w:p w14:paraId="4F3A28C3" w14:textId="77777777" w:rsidR="003F7E77" w:rsidRPr="001A7C74" w:rsidRDefault="003F7E77" w:rsidP="003F7E77">
      <w:pPr>
        <w:spacing w:after="0" w:line="276" w:lineRule="auto"/>
        <w:jc w:val="both"/>
        <w:rPr>
          <w:rFonts w:ascii="Bookman Old Style" w:hAnsi="Bookman Old Style" w:cs="Times New Roman"/>
          <w:b/>
          <w:sz w:val="24"/>
          <w:szCs w:val="24"/>
        </w:rPr>
      </w:pPr>
    </w:p>
    <w:p w14:paraId="053A9523" w14:textId="77777777" w:rsidR="003F7E77" w:rsidRPr="001A7C74" w:rsidRDefault="003F7E77" w:rsidP="003F7E77">
      <w:pPr>
        <w:spacing w:after="0" w:line="276" w:lineRule="auto"/>
        <w:jc w:val="both"/>
        <w:rPr>
          <w:rFonts w:ascii="Bookman Old Style" w:hAnsi="Bookman Old Style" w:cs="Times New Roman"/>
          <w:b/>
          <w:sz w:val="24"/>
          <w:szCs w:val="24"/>
        </w:rPr>
      </w:pPr>
    </w:p>
    <w:p w14:paraId="33782074" w14:textId="77777777" w:rsidR="003F7E77" w:rsidRPr="001A7C74" w:rsidRDefault="003F7E77" w:rsidP="003F7E77">
      <w:pPr>
        <w:spacing w:after="0" w:line="276" w:lineRule="auto"/>
        <w:jc w:val="center"/>
        <w:rPr>
          <w:rFonts w:ascii="Bookman Old Style" w:hAnsi="Bookman Old Style" w:cs="Times New Roman"/>
          <w:b/>
          <w:sz w:val="24"/>
          <w:szCs w:val="24"/>
        </w:rPr>
      </w:pPr>
    </w:p>
    <w:p w14:paraId="2281D996" w14:textId="77777777" w:rsidR="003F7E77" w:rsidRPr="001A7C74" w:rsidRDefault="003F7E77" w:rsidP="003F7E77">
      <w:pPr>
        <w:spacing w:after="0" w:line="276" w:lineRule="auto"/>
        <w:jc w:val="center"/>
        <w:rPr>
          <w:rFonts w:ascii="Bookman Old Style" w:hAnsi="Bookman Old Style" w:cs="Times New Roman"/>
          <w:b/>
          <w:sz w:val="24"/>
          <w:szCs w:val="24"/>
        </w:rPr>
      </w:pPr>
      <w:r w:rsidRPr="001A7C74">
        <w:rPr>
          <w:rFonts w:ascii="Bookman Old Style" w:hAnsi="Bookman Old Style" w:cs="Times New Roman"/>
          <w:b/>
          <w:sz w:val="24"/>
          <w:szCs w:val="24"/>
        </w:rPr>
        <w:t>EL CONGRESO DE COLOMBIA</w:t>
      </w:r>
    </w:p>
    <w:p w14:paraId="6A8501FE" w14:textId="77777777" w:rsidR="003F7E77" w:rsidRPr="001A7C74" w:rsidRDefault="003F7E77" w:rsidP="003F7E77">
      <w:pPr>
        <w:spacing w:after="0" w:line="276" w:lineRule="auto"/>
        <w:jc w:val="center"/>
        <w:rPr>
          <w:rFonts w:ascii="Bookman Old Style" w:hAnsi="Bookman Old Style" w:cs="Times New Roman"/>
          <w:b/>
          <w:sz w:val="24"/>
          <w:szCs w:val="24"/>
        </w:rPr>
      </w:pPr>
    </w:p>
    <w:p w14:paraId="0BAA5773" w14:textId="77777777" w:rsidR="003F7E77" w:rsidRPr="001A7C74" w:rsidRDefault="003F7E77" w:rsidP="003F7E77">
      <w:pPr>
        <w:spacing w:after="0" w:line="276" w:lineRule="auto"/>
        <w:jc w:val="center"/>
        <w:rPr>
          <w:rFonts w:ascii="Bookman Old Style" w:hAnsi="Bookman Old Style" w:cs="Times New Roman"/>
          <w:b/>
          <w:sz w:val="24"/>
          <w:szCs w:val="24"/>
        </w:rPr>
      </w:pPr>
    </w:p>
    <w:p w14:paraId="20E99904" w14:textId="77777777" w:rsidR="003F7E77" w:rsidRPr="001A7C74" w:rsidRDefault="003F7E77" w:rsidP="003F7E77">
      <w:pPr>
        <w:spacing w:after="0" w:line="276" w:lineRule="auto"/>
        <w:jc w:val="center"/>
        <w:rPr>
          <w:rFonts w:ascii="Bookman Old Style" w:hAnsi="Bookman Old Style" w:cs="Times New Roman"/>
          <w:b/>
          <w:sz w:val="24"/>
          <w:szCs w:val="24"/>
        </w:rPr>
      </w:pPr>
      <w:r w:rsidRPr="001A7C74">
        <w:rPr>
          <w:rFonts w:ascii="Bookman Old Style" w:hAnsi="Bookman Old Style" w:cs="Times New Roman"/>
          <w:b/>
          <w:sz w:val="24"/>
          <w:szCs w:val="24"/>
        </w:rPr>
        <w:t>DECRETA:</w:t>
      </w:r>
    </w:p>
    <w:p w14:paraId="3C9FF7CF" w14:textId="77777777" w:rsidR="003F7E77" w:rsidRPr="001A7C74" w:rsidRDefault="003F7E77" w:rsidP="003F7E77">
      <w:pPr>
        <w:spacing w:after="0" w:line="276" w:lineRule="auto"/>
        <w:jc w:val="center"/>
        <w:rPr>
          <w:rFonts w:ascii="Bookman Old Style" w:hAnsi="Bookman Old Style" w:cs="Times New Roman"/>
          <w:b/>
          <w:sz w:val="24"/>
          <w:szCs w:val="24"/>
        </w:rPr>
      </w:pPr>
    </w:p>
    <w:p w14:paraId="5FF2935E" w14:textId="77777777" w:rsidR="003F7E77" w:rsidRPr="001A7C74" w:rsidRDefault="003F7E77" w:rsidP="003F7E77">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Artículo 1º. Modifíquese el artículo 65 de la Constitución Política de Colombia, el cual quedará así:</w:t>
      </w:r>
    </w:p>
    <w:p w14:paraId="780C6ED0" w14:textId="77777777" w:rsidR="003F7E77" w:rsidRPr="001A7C74" w:rsidRDefault="003F7E77" w:rsidP="003F7E77">
      <w:pPr>
        <w:spacing w:after="0" w:line="276" w:lineRule="auto"/>
        <w:rPr>
          <w:rFonts w:ascii="Bookman Old Style" w:hAnsi="Bookman Old Style" w:cs="Times New Roman"/>
          <w:b/>
          <w:sz w:val="24"/>
          <w:szCs w:val="24"/>
        </w:rPr>
      </w:pPr>
    </w:p>
    <w:p w14:paraId="6CD4BEBA" w14:textId="77777777" w:rsidR="00945AAB" w:rsidRPr="00945AAB" w:rsidRDefault="003F7E77" w:rsidP="00945AAB">
      <w:pPr>
        <w:spacing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 xml:space="preserve">Artículo 65. </w:t>
      </w:r>
      <w:r w:rsidR="00945AAB" w:rsidRPr="00945AAB">
        <w:rPr>
          <w:rFonts w:ascii="Bookman Old Style" w:hAnsi="Bookman Old Style" w:cs="Times New Roman"/>
          <w:sz w:val="24"/>
          <w:szCs w:val="24"/>
        </w:rPr>
        <w:t xml:space="preserve">El Estado garantizará el derecho a la alimentación adecuada y a proteger a las personas contra el hambre y la desnutrición. Así mismo promoverá condiciones de seguridad alimentaria y soberanía alimentaria en el territorio nacional. </w:t>
      </w:r>
    </w:p>
    <w:p w14:paraId="38A5CC99" w14:textId="77777777" w:rsidR="00945AAB" w:rsidRPr="00945AAB" w:rsidRDefault="00945AAB" w:rsidP="00945AAB">
      <w:pPr>
        <w:spacing w:line="276" w:lineRule="auto"/>
        <w:jc w:val="both"/>
        <w:rPr>
          <w:rFonts w:ascii="Bookman Old Style" w:hAnsi="Bookman Old Style" w:cs="Times New Roman"/>
          <w:sz w:val="24"/>
          <w:szCs w:val="24"/>
        </w:rPr>
      </w:pPr>
    </w:p>
    <w:p w14:paraId="4BA6DA21" w14:textId="77777777" w:rsidR="00945AAB" w:rsidRPr="00945AAB" w:rsidRDefault="00945AAB" w:rsidP="00945AAB">
      <w:pPr>
        <w:spacing w:line="276" w:lineRule="auto"/>
        <w:jc w:val="both"/>
        <w:rPr>
          <w:rFonts w:ascii="Bookman Old Style" w:hAnsi="Bookman Old Style" w:cs="Times New Roman"/>
          <w:sz w:val="24"/>
          <w:szCs w:val="24"/>
        </w:rPr>
      </w:pPr>
      <w:r w:rsidRPr="00945AAB">
        <w:rPr>
          <w:rFonts w:ascii="Bookman Old Style" w:hAnsi="Bookman Old Style" w:cs="Times New Roman"/>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El Estado definirá una estrategia para el acompañamiento de las cadenas de producción y distribución nacional de alimentos, así como para evitar la pérdida de los mismos.</w:t>
      </w:r>
    </w:p>
    <w:p w14:paraId="5B0B07F1" w14:textId="77777777" w:rsidR="00945AAB" w:rsidRPr="00945AAB" w:rsidRDefault="00945AAB" w:rsidP="00945AAB">
      <w:pPr>
        <w:spacing w:line="276" w:lineRule="auto"/>
        <w:jc w:val="both"/>
        <w:rPr>
          <w:rFonts w:ascii="Bookman Old Style" w:hAnsi="Bookman Old Style" w:cs="Times New Roman"/>
          <w:sz w:val="24"/>
          <w:szCs w:val="24"/>
        </w:rPr>
      </w:pPr>
    </w:p>
    <w:p w14:paraId="513C8E3A" w14:textId="353766CD" w:rsidR="00945AAB" w:rsidRPr="00945AAB" w:rsidRDefault="00945AAB" w:rsidP="00945AAB">
      <w:pPr>
        <w:spacing w:line="276" w:lineRule="auto"/>
        <w:jc w:val="both"/>
        <w:rPr>
          <w:rFonts w:ascii="Bookman Old Style" w:hAnsi="Bookman Old Style" w:cs="Times New Roman"/>
          <w:sz w:val="24"/>
          <w:szCs w:val="24"/>
        </w:rPr>
      </w:pPr>
      <w:r w:rsidRPr="00945AAB">
        <w:rPr>
          <w:rFonts w:ascii="Bookman Old Style" w:hAnsi="Bookman Old Style" w:cs="Times New Roman"/>
          <w:sz w:val="24"/>
          <w:szCs w:val="24"/>
        </w:rPr>
        <w:t>De igual manera, el Estado promoverá la investigación y la transferencia de tecnología para la producción de alimentos y materias primas de origen agropecuario, con el propósito de incrementar la productividad, dando prioridad a las formas de producción de alimentos que estén acorde con una dieta saludable y que generen un menor impacto ambiental.</w:t>
      </w:r>
    </w:p>
    <w:p w14:paraId="1CEFA805" w14:textId="1B293392" w:rsidR="003F7E77" w:rsidRDefault="003F7E77" w:rsidP="00945AAB">
      <w:pPr>
        <w:spacing w:after="0" w:line="276" w:lineRule="auto"/>
        <w:jc w:val="both"/>
        <w:rPr>
          <w:rFonts w:ascii="Bookman Old Style" w:hAnsi="Bookman Old Style" w:cs="Times New Roman"/>
          <w:sz w:val="24"/>
          <w:szCs w:val="24"/>
        </w:rPr>
      </w:pPr>
    </w:p>
    <w:p w14:paraId="6D201F57" w14:textId="77777777" w:rsidR="003F7E77" w:rsidRPr="001A7C74" w:rsidRDefault="003F7E77" w:rsidP="003F7E77">
      <w:pPr>
        <w:spacing w:after="0" w:line="276" w:lineRule="auto"/>
        <w:jc w:val="both"/>
        <w:rPr>
          <w:rFonts w:ascii="Bookman Old Style" w:hAnsi="Bookman Old Style" w:cs="Times New Roman"/>
          <w:sz w:val="24"/>
          <w:szCs w:val="24"/>
        </w:rPr>
      </w:pPr>
    </w:p>
    <w:p w14:paraId="045F2CF8" w14:textId="77777777" w:rsidR="003F7E77" w:rsidRPr="001A7C74" w:rsidRDefault="003F7E77" w:rsidP="003F7E77">
      <w:pPr>
        <w:spacing w:after="0" w:line="276" w:lineRule="auto"/>
        <w:jc w:val="both"/>
        <w:rPr>
          <w:rFonts w:ascii="Bookman Old Style" w:hAnsi="Bookman Old Style" w:cs="Times New Roman"/>
          <w:sz w:val="24"/>
          <w:szCs w:val="24"/>
        </w:rPr>
      </w:pPr>
      <w:r w:rsidRPr="001A7C74">
        <w:rPr>
          <w:rFonts w:ascii="Bookman Old Style" w:hAnsi="Bookman Old Style" w:cs="Times New Roman"/>
          <w:sz w:val="24"/>
          <w:szCs w:val="24"/>
        </w:rPr>
        <w:t>Artículo 2º. El presente Acto Legislativo rige a partir de su promulgación y deroga todas las normas que le sean contrarias.</w:t>
      </w:r>
    </w:p>
    <w:p w14:paraId="524CC9FC" w14:textId="77777777" w:rsidR="003F7E77" w:rsidRPr="001A7C74" w:rsidRDefault="003F7E77" w:rsidP="003F7E77">
      <w:pPr>
        <w:spacing w:after="0" w:line="276" w:lineRule="auto"/>
        <w:jc w:val="both"/>
        <w:rPr>
          <w:rFonts w:ascii="Bookman Old Style" w:hAnsi="Bookman Old Style" w:cs="Times New Roman"/>
          <w:b/>
          <w:sz w:val="24"/>
          <w:szCs w:val="24"/>
        </w:rPr>
      </w:pPr>
    </w:p>
    <w:p w14:paraId="66EDA29C" w14:textId="77777777" w:rsidR="003F7E77" w:rsidRPr="001A7C74" w:rsidRDefault="003F7E77" w:rsidP="003F7E77">
      <w:pPr>
        <w:spacing w:after="0" w:line="276" w:lineRule="auto"/>
        <w:jc w:val="both"/>
        <w:rPr>
          <w:rFonts w:ascii="Bookman Old Style" w:hAnsi="Bookman Old Style" w:cs="Times New Roman"/>
          <w:bCs/>
          <w:sz w:val="24"/>
          <w:szCs w:val="24"/>
        </w:rPr>
      </w:pPr>
      <w:r w:rsidRPr="001A7C74">
        <w:rPr>
          <w:rFonts w:ascii="Bookman Old Style" w:hAnsi="Bookman Old Style" w:cs="Times New Roman"/>
          <w:bCs/>
          <w:sz w:val="24"/>
          <w:szCs w:val="24"/>
        </w:rPr>
        <w:t>Cordialmente,</w:t>
      </w:r>
    </w:p>
    <w:p w14:paraId="45842140" w14:textId="77777777" w:rsidR="003F7E77" w:rsidRPr="001A7C74" w:rsidRDefault="003F7E77" w:rsidP="003F7E77">
      <w:pPr>
        <w:spacing w:after="0" w:line="276" w:lineRule="auto"/>
        <w:jc w:val="both"/>
        <w:rPr>
          <w:rFonts w:ascii="Bookman Old Style" w:hAnsi="Bookman Old Style" w:cs="Times New Roman"/>
          <w:sz w:val="24"/>
          <w:szCs w:val="24"/>
        </w:rPr>
      </w:pPr>
    </w:p>
    <w:p w14:paraId="78FC6146" w14:textId="77777777" w:rsidR="003F7E77" w:rsidRPr="001A7C74" w:rsidRDefault="003F7E77" w:rsidP="003F7E77">
      <w:pPr>
        <w:spacing w:after="0" w:line="276" w:lineRule="auto"/>
        <w:jc w:val="both"/>
        <w:rPr>
          <w:rFonts w:ascii="Bookman Old Style" w:hAnsi="Bookman Old Style" w:cs="Times New Roman"/>
          <w:sz w:val="24"/>
          <w:szCs w:val="24"/>
        </w:rPr>
      </w:pPr>
    </w:p>
    <w:p w14:paraId="052CB025" w14:textId="77777777" w:rsidR="003F7E77" w:rsidRPr="001A7C74" w:rsidRDefault="003F7E77" w:rsidP="003F7E77">
      <w:pPr>
        <w:spacing w:after="0" w:line="276" w:lineRule="auto"/>
        <w:jc w:val="both"/>
        <w:rPr>
          <w:rFonts w:ascii="Bookman Old Style" w:hAnsi="Bookman Old Style" w:cs="Times New Roman"/>
          <w:sz w:val="24"/>
          <w:szCs w:val="24"/>
        </w:rPr>
      </w:pPr>
    </w:p>
    <w:p w14:paraId="1E6E3CB5" w14:textId="77777777" w:rsidR="003F7E77" w:rsidRPr="001A7C74" w:rsidRDefault="003F7E77" w:rsidP="003F7E77">
      <w:pPr>
        <w:spacing w:after="0" w:line="276" w:lineRule="auto"/>
        <w:jc w:val="both"/>
        <w:rPr>
          <w:rFonts w:ascii="Bookman Old Style" w:hAnsi="Bookman Old Style" w:cs="Times New Roman"/>
          <w:sz w:val="24"/>
          <w:szCs w:val="24"/>
        </w:rPr>
      </w:pPr>
    </w:p>
    <w:p w14:paraId="061BA740" w14:textId="77777777" w:rsidR="003F7E77" w:rsidRPr="001A7C74" w:rsidRDefault="003F7E77" w:rsidP="003F7E77">
      <w:pPr>
        <w:spacing w:after="0" w:line="276" w:lineRule="auto"/>
        <w:jc w:val="both"/>
        <w:rPr>
          <w:rFonts w:ascii="Bookman Old Style" w:hAnsi="Bookman Old Style" w:cs="Times New Roman"/>
          <w:sz w:val="24"/>
          <w:szCs w:val="24"/>
        </w:rPr>
      </w:pPr>
    </w:p>
    <w:p w14:paraId="6DEBFE44" w14:textId="77777777" w:rsidR="003F7E77" w:rsidRPr="001A7C74" w:rsidRDefault="003F7E77" w:rsidP="003F7E77">
      <w:pPr>
        <w:spacing w:after="0" w:line="276" w:lineRule="auto"/>
        <w:jc w:val="center"/>
        <w:rPr>
          <w:rFonts w:ascii="Bookman Old Style" w:hAnsi="Bookman Old Style" w:cs="Times New Roman"/>
          <w:b/>
          <w:sz w:val="24"/>
          <w:szCs w:val="24"/>
        </w:rPr>
      </w:pPr>
      <w:r w:rsidRPr="001A7C74">
        <w:rPr>
          <w:rFonts w:ascii="Bookman Old Style" w:hAnsi="Bookman Old Style" w:cs="Times New Roman"/>
          <w:b/>
          <w:sz w:val="24"/>
          <w:szCs w:val="24"/>
        </w:rPr>
        <w:t>JUAN CARLOS LOSADA VARGAS</w:t>
      </w:r>
    </w:p>
    <w:p w14:paraId="11866381" w14:textId="77777777" w:rsidR="003F7E77" w:rsidRPr="001A7C74" w:rsidRDefault="003F7E77" w:rsidP="003F7E77">
      <w:pPr>
        <w:spacing w:after="0" w:line="276" w:lineRule="auto"/>
        <w:jc w:val="center"/>
        <w:rPr>
          <w:rFonts w:ascii="Bookman Old Style" w:hAnsi="Bookman Old Style" w:cs="Times New Roman"/>
          <w:sz w:val="24"/>
          <w:szCs w:val="24"/>
        </w:rPr>
      </w:pPr>
      <w:r w:rsidRPr="001A7C74">
        <w:rPr>
          <w:rFonts w:ascii="Bookman Old Style" w:hAnsi="Bookman Old Style" w:cs="Times New Roman"/>
          <w:sz w:val="24"/>
          <w:szCs w:val="24"/>
        </w:rPr>
        <w:t>Representante a la Cámara.</w:t>
      </w:r>
    </w:p>
    <w:p w14:paraId="6BA3F572" w14:textId="77777777" w:rsidR="003F7E77" w:rsidRPr="001A7C74" w:rsidRDefault="003F7E77" w:rsidP="003F7E77">
      <w:pPr>
        <w:spacing w:after="0" w:line="276" w:lineRule="auto"/>
        <w:jc w:val="center"/>
        <w:rPr>
          <w:rFonts w:ascii="Bookman Old Style" w:hAnsi="Bookman Old Style" w:cs="Times New Roman"/>
          <w:sz w:val="24"/>
          <w:szCs w:val="24"/>
        </w:rPr>
      </w:pPr>
      <w:r w:rsidRPr="001A7C74">
        <w:rPr>
          <w:rFonts w:ascii="Bookman Old Style" w:hAnsi="Bookman Old Style" w:cs="Times New Roman"/>
          <w:sz w:val="24"/>
          <w:szCs w:val="24"/>
        </w:rPr>
        <w:t>Ponente</w:t>
      </w:r>
    </w:p>
    <w:p w14:paraId="0C0C0F5A" w14:textId="77777777" w:rsidR="003F7E77" w:rsidRPr="001A7C74" w:rsidRDefault="003F7E77" w:rsidP="003F7E77">
      <w:pPr>
        <w:spacing w:after="0" w:line="276" w:lineRule="auto"/>
        <w:jc w:val="center"/>
        <w:rPr>
          <w:rFonts w:ascii="Bookman Old Style" w:hAnsi="Bookman Old Style" w:cs="Times New Roman"/>
          <w:sz w:val="24"/>
          <w:szCs w:val="24"/>
          <w:lang w:val="es-MX"/>
        </w:rPr>
      </w:pPr>
    </w:p>
    <w:p w14:paraId="45B5A9C4" w14:textId="77777777" w:rsidR="003F7E77" w:rsidRPr="001A7C74" w:rsidRDefault="003F7E77" w:rsidP="003F7E77">
      <w:pPr>
        <w:spacing w:after="0"/>
        <w:jc w:val="both"/>
        <w:rPr>
          <w:rFonts w:ascii="Bookman Old Style" w:hAnsi="Bookman Old Style" w:cs="Arial"/>
          <w:sz w:val="24"/>
          <w:szCs w:val="24"/>
          <w:lang w:val="es-MX"/>
        </w:rPr>
      </w:pPr>
    </w:p>
    <w:p w14:paraId="653E9546" w14:textId="77777777" w:rsidR="003F7E77" w:rsidRPr="001A7C74" w:rsidRDefault="003F7E77" w:rsidP="003F7E77">
      <w:pPr>
        <w:rPr>
          <w:rFonts w:ascii="Bookman Old Style" w:hAnsi="Bookman Old Style"/>
          <w:sz w:val="24"/>
          <w:szCs w:val="24"/>
        </w:rPr>
      </w:pPr>
    </w:p>
    <w:p w14:paraId="236DE52F" w14:textId="77777777" w:rsidR="009F61C6" w:rsidRDefault="009F61C6"/>
    <w:sectPr w:rsidR="009F61C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BFB7" w14:textId="77777777" w:rsidR="001F0AF4" w:rsidRDefault="001F0AF4" w:rsidP="003F7E77">
      <w:pPr>
        <w:spacing w:after="0" w:line="240" w:lineRule="auto"/>
      </w:pPr>
      <w:r>
        <w:separator/>
      </w:r>
    </w:p>
  </w:endnote>
  <w:endnote w:type="continuationSeparator" w:id="0">
    <w:p w14:paraId="7A392B73" w14:textId="77777777" w:rsidR="001F0AF4" w:rsidRDefault="001F0AF4" w:rsidP="003F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58EB" w14:textId="77777777" w:rsidR="001F0AF4" w:rsidRDefault="001F0AF4" w:rsidP="003F7E77">
      <w:pPr>
        <w:spacing w:after="0" w:line="240" w:lineRule="auto"/>
      </w:pPr>
      <w:r>
        <w:separator/>
      </w:r>
    </w:p>
  </w:footnote>
  <w:footnote w:type="continuationSeparator" w:id="0">
    <w:p w14:paraId="73130815" w14:textId="77777777" w:rsidR="001F0AF4" w:rsidRDefault="001F0AF4" w:rsidP="003F7E77">
      <w:pPr>
        <w:spacing w:after="0" w:line="240" w:lineRule="auto"/>
      </w:pPr>
      <w:r>
        <w:continuationSeparator/>
      </w:r>
    </w:p>
  </w:footnote>
  <w:footnote w:id="1">
    <w:p w14:paraId="2CF18CCD" w14:textId="77777777" w:rsidR="003F7E77" w:rsidRPr="002E0711"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2E0711">
        <w:rPr>
          <w:rFonts w:ascii="Times New Roman" w:hAnsi="Times New Roman" w:cs="Times New Roman"/>
          <w:sz w:val="20"/>
          <w:szCs w:val="20"/>
          <w:vertAlign w:val="superscript"/>
        </w:rPr>
        <w:footnoteRef/>
      </w:r>
      <w:r w:rsidRPr="002E0711">
        <w:rPr>
          <w:rFonts w:ascii="Times New Roman" w:eastAsia="Arial" w:hAnsi="Times New Roman" w:cs="Times New Roman"/>
          <w:color w:val="000000"/>
          <w:sz w:val="20"/>
          <w:szCs w:val="20"/>
        </w:rPr>
        <w:t xml:space="preserve"> Artículo 25 (como parte del derecho a un nivel de vida adecuado) de la Declaración Universal de los Derechos Humanos de 1948 adoptada por la Asamblea General de las Naciones Unidas en Resolución 217 A (III) de fecha 10 de diciembre de 1948, la cual es considerada como Fuente de Derecho Internacional de conformidad con el artículo 38 del Estatuto de la Corte Internacional de Justicia, en tanto cumple con los requisitos para ser considerada Costumbre Internacional; Artículos 11 (derecho a un nivel de vida adecuado) y 12 (derecho de toda persona a estar protegida contra el hambre) del Pacto Internacional de Derechos Económicos de 1966, Sociales y Culturales; y el Artículo 12 (derecho a la alimentación) del Protocolo Adicional a la Convención Americana sobre Derechos Humanos en Materia de Derechos Económicos Sociales y Culturales “Protocolo de San Salvador” de 1988. Así mismo, es menester resaltar que el doctrinante MARCO GERARDO MONROY CABRA ha señalado que en general “</w:t>
      </w:r>
      <w:r w:rsidRPr="002E0711">
        <w:rPr>
          <w:rFonts w:ascii="Times New Roman" w:eastAsia="Arial" w:hAnsi="Times New Roman" w:cs="Times New Roman"/>
          <w:i/>
          <w:color w:val="000000"/>
          <w:sz w:val="20"/>
          <w:szCs w:val="20"/>
        </w:rPr>
        <w:t>las normas que regulan el respeto a los derechos humanos son de ius cogens, de orden público y por tanto, imperativas y obligatorias para la comunidad internacional</w:t>
      </w:r>
      <w:r w:rsidRPr="002E0711">
        <w:rPr>
          <w:rFonts w:ascii="Times New Roman" w:eastAsia="Arial" w:hAnsi="Times New Roman" w:cs="Times New Roman"/>
          <w:color w:val="000000"/>
          <w:sz w:val="20"/>
          <w:szCs w:val="20"/>
        </w:rPr>
        <w:t xml:space="preserve">” En: MARCO GERARDO MONROY CABRA, </w:t>
      </w:r>
      <w:r w:rsidRPr="002E0711">
        <w:rPr>
          <w:rFonts w:ascii="Times New Roman" w:eastAsia="Arial" w:hAnsi="Times New Roman" w:cs="Times New Roman"/>
          <w:i/>
          <w:color w:val="000000"/>
          <w:sz w:val="20"/>
          <w:szCs w:val="20"/>
        </w:rPr>
        <w:t>Derecho Internacional Público</w:t>
      </w:r>
      <w:r w:rsidRPr="002E0711">
        <w:rPr>
          <w:rFonts w:ascii="Times New Roman" w:eastAsia="Arial" w:hAnsi="Times New Roman" w:cs="Times New Roman"/>
          <w:color w:val="000000"/>
          <w:sz w:val="20"/>
          <w:szCs w:val="20"/>
        </w:rPr>
        <w:t>, Bogotá, Editorial Temis, 2011. Pág. 660-661, por lo que el presente proyecto de Ley apunta a dar cumplimiento a obligaciones imperativas de carácter internacional que el Estado colombiano ha contraído en virtud de su pertenencia a la Comunidad Internacional y debido a la suscripción de sendos Tratados sobre Derechos Humanos que le son vinculantes.</w:t>
      </w:r>
    </w:p>
  </w:footnote>
  <w:footnote w:id="2">
    <w:p w14:paraId="49B35D4D" w14:textId="77777777" w:rsidR="003F7E77" w:rsidRPr="000A4E2B" w:rsidRDefault="003F7E77" w:rsidP="003F7E77">
      <w:pPr>
        <w:pStyle w:val="Textonotapie"/>
        <w:rPr>
          <w:lang w:val="es-MX"/>
        </w:rPr>
      </w:pPr>
      <w:r w:rsidRPr="002E0711">
        <w:rPr>
          <w:rStyle w:val="Refdenotaalpie"/>
          <w:rFonts w:ascii="Times New Roman" w:hAnsi="Times New Roman" w:cs="Times New Roman"/>
        </w:rPr>
        <w:footnoteRef/>
      </w:r>
      <w:r w:rsidRPr="002E0711">
        <w:rPr>
          <w:rFonts w:ascii="Times New Roman" w:hAnsi="Times New Roman" w:cs="Times New Roman"/>
        </w:rPr>
        <w:t xml:space="preserve"> Disponible en: </w:t>
      </w:r>
      <w:hyperlink r:id="rId1" w:history="1">
        <w:r w:rsidRPr="002E0711">
          <w:rPr>
            <w:rStyle w:val="Hipervnculo"/>
            <w:rFonts w:ascii="Times New Roman" w:hAnsi="Times New Roman" w:cs="Times New Roman"/>
          </w:rPr>
          <w:t>https://www.fao.org/3/cb5409es/cb5409es.pdf</w:t>
        </w:r>
      </w:hyperlink>
      <w:r>
        <w:t xml:space="preserve"> </w:t>
      </w:r>
    </w:p>
  </w:footnote>
  <w:footnote w:id="3">
    <w:p w14:paraId="010F4218" w14:textId="77777777" w:rsidR="003F7E77" w:rsidRPr="002E0711" w:rsidRDefault="003F7E77" w:rsidP="003F7E77">
      <w:pPr>
        <w:pStyle w:val="Textonotapie"/>
        <w:jc w:val="both"/>
        <w:rPr>
          <w:lang w:val="es-MX"/>
        </w:rPr>
      </w:pPr>
      <w:r>
        <w:rPr>
          <w:rStyle w:val="Refdenotaalpie"/>
        </w:rPr>
        <w:footnoteRef/>
      </w:r>
      <w:r>
        <w:t xml:space="preserve"> </w:t>
      </w:r>
      <w:r>
        <w:rPr>
          <w:lang w:val="es-MX"/>
        </w:rPr>
        <w:t>A pesar de que se cuenta con la Encuesta Nacional de Situación Nutricional (ENSIN) realizada cada cinco años, se considera que el periodo evaluado es muy amplio y, adicionalmente, su interpretación y aplicación en razón del extenso periodo que abarca constituye un desafío en materia de interpretación para los tomadores de decisión.</w:t>
      </w:r>
    </w:p>
  </w:footnote>
  <w:footnote w:id="4">
    <w:p w14:paraId="41675482"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Oficina del Alto Comisionado para los Derechos Humanos. (2014). </w:t>
      </w:r>
      <w:r w:rsidRPr="00655FEA">
        <w:rPr>
          <w:rFonts w:ascii="Times New Roman" w:eastAsia="Arial" w:hAnsi="Times New Roman" w:cs="Times New Roman"/>
          <w:i/>
          <w:color w:val="000000"/>
          <w:sz w:val="20"/>
          <w:szCs w:val="20"/>
        </w:rPr>
        <w:t>Sus Derechos Humanos</w:t>
      </w:r>
      <w:r w:rsidRPr="00655FEA">
        <w:rPr>
          <w:rFonts w:ascii="Times New Roman" w:eastAsia="Arial" w:hAnsi="Times New Roman" w:cs="Times New Roman"/>
          <w:color w:val="000000"/>
          <w:sz w:val="20"/>
          <w:szCs w:val="20"/>
        </w:rPr>
        <w:t>. Recuperado el 7 de octubre de 2014 desde Naciones Unidas - Derechos Humanos - Oficina del Alto Comisionado para los Derechos Humanos:  http://www.ohchr.org/SP/Issues/Pages/WhatareHumanRights.aspx</w:t>
      </w:r>
    </w:p>
  </w:footnote>
  <w:footnote w:id="5">
    <w:p w14:paraId="3421C523"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Así lo dispone el Artículo 1 de la Declaración Universal de los Derechos Humanos que establece que </w:t>
      </w:r>
      <w:r w:rsidRPr="00655FEA">
        <w:rPr>
          <w:rFonts w:ascii="Times New Roman" w:eastAsia="Arial" w:hAnsi="Times New Roman" w:cs="Times New Roman"/>
          <w:i/>
          <w:color w:val="000000"/>
          <w:sz w:val="20"/>
          <w:szCs w:val="20"/>
        </w:rPr>
        <w:t>“todos los seres humanos nacen libres e iguales en dignidad y derechos”</w:t>
      </w:r>
    </w:p>
  </w:footnote>
  <w:footnote w:id="6">
    <w:p w14:paraId="0E94A0B7"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El principio de universalidad constituye la piedra angular del Derecho Internacional de los Derechos Humanos. Como ejemplo de éste es preciso acudir a las disposiciones de la Declaración Mundial de Derechos Humanos y el Programa de Acción de Viena de </w:t>
      </w:r>
      <w:r w:rsidRPr="00655FEA">
        <w:rPr>
          <w:rFonts w:ascii="Times New Roman" w:eastAsia="Arial" w:hAnsi="Times New Roman" w:cs="Times New Roman"/>
          <w:color w:val="000000"/>
          <w:sz w:val="20"/>
          <w:szCs w:val="20"/>
        </w:rPr>
        <w:t>1993,  aprobados por la Conferencia Mundial de Derechos Humanos. Allí se establece que todos los Estados se encuentran en el deber de proteger los Derechos Humanos y las libertades individuales, lo anterior con independencia a los contextos políticos, económicos, culturales o económicos.</w:t>
      </w:r>
    </w:p>
  </w:footnote>
  <w:footnote w:id="7">
    <w:p w14:paraId="76E64D84"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La Oficina del Alto Comisionado para los Derechos Humanos define el criterio de inalienabilidad en el sentido de que “</w:t>
      </w:r>
      <w:r w:rsidRPr="00655FEA">
        <w:rPr>
          <w:rFonts w:ascii="Times New Roman" w:eastAsia="Arial" w:hAnsi="Times New Roman" w:cs="Times New Roman"/>
          <w:i/>
          <w:color w:val="000000"/>
          <w:sz w:val="20"/>
          <w:szCs w:val="20"/>
        </w:rPr>
        <w:t>Los derechos humanos son inalienables. No deben suprimirse, salvo en determinadas situaciones y según las debidas garantías procesales</w:t>
      </w:r>
      <w:r w:rsidRPr="00655FEA">
        <w:rPr>
          <w:rFonts w:ascii="Times New Roman" w:eastAsia="Arial" w:hAnsi="Times New Roman" w:cs="Times New Roman"/>
          <w:color w:val="000000"/>
          <w:sz w:val="20"/>
          <w:szCs w:val="20"/>
        </w:rPr>
        <w:t xml:space="preserve">.” En: Oficina del Alto Comisionado para los Derechos Humanos. (2014). </w:t>
      </w:r>
      <w:r w:rsidRPr="00655FEA">
        <w:rPr>
          <w:rFonts w:ascii="Times New Roman" w:eastAsia="Arial" w:hAnsi="Times New Roman" w:cs="Times New Roman"/>
          <w:i/>
          <w:color w:val="000000"/>
          <w:sz w:val="20"/>
          <w:szCs w:val="20"/>
        </w:rPr>
        <w:t>Sus Derechos Humanos</w:t>
      </w:r>
      <w:r w:rsidRPr="00655FEA">
        <w:rPr>
          <w:rFonts w:ascii="Times New Roman" w:eastAsia="Arial" w:hAnsi="Times New Roman" w:cs="Times New Roman"/>
          <w:color w:val="000000"/>
          <w:sz w:val="20"/>
          <w:szCs w:val="20"/>
        </w:rPr>
        <w:t>. Recuperado el 7 de octubre de 2014, de Naciones Unidas - Derechos Humanos - Oficina del Alto Comisionado para los Derechos Humanos: http://www.ohchr.org/SP/Issues/Pages/WhatareHumanRights.aspx</w:t>
      </w:r>
    </w:p>
  </w:footnote>
  <w:footnote w:id="8">
    <w:p w14:paraId="7C38B444"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En lo referente a la interrelación, interdependencia e indivisibilidad, la Oficina del Alto Comisionado para los Derechos Humanos define dichos criterios en el sentido de </w:t>
      </w:r>
      <w:r w:rsidRPr="00655FEA">
        <w:rPr>
          <w:rFonts w:ascii="Times New Roman" w:eastAsia="Arial" w:hAnsi="Times New Roman" w:cs="Times New Roman"/>
          <w:color w:val="000000"/>
          <w:sz w:val="20"/>
          <w:szCs w:val="20"/>
        </w:rPr>
        <w:t xml:space="preserve">que  </w:t>
      </w:r>
      <w:r w:rsidRPr="00655FEA">
        <w:rPr>
          <w:rFonts w:ascii="Times New Roman" w:eastAsia="Arial" w:hAnsi="Times New Roman" w:cs="Times New Roman"/>
          <w:i/>
          <w:color w:val="000000"/>
          <w:sz w:val="20"/>
          <w:szCs w:val="20"/>
        </w:rPr>
        <w:t>“Todos los derechos humanos, sean éstos los derechos civiles y políticos (…); los derechos económicos, sociales y culturales (…); o los derechos colectivos, todos son derechos indivisibles, interrelacionados e interdependientes. El avance de uno facilita el avance de los demás. De la misma manera, la privación de un derecho afecta negativamente a los demás.” </w:t>
      </w:r>
      <w:r w:rsidRPr="00655FEA">
        <w:rPr>
          <w:rFonts w:ascii="Times New Roman" w:eastAsia="Arial" w:hAnsi="Times New Roman" w:cs="Times New Roman"/>
          <w:color w:val="000000"/>
          <w:sz w:val="20"/>
          <w:szCs w:val="20"/>
        </w:rPr>
        <w:t xml:space="preserve">Al respecto ver la Declaración y Programa de Acción de Viena aprobado por la Conferencia Mundial de Derechos Humanos celebrada en 1993. A/CONF.127/23. Pár. 5; Ver también: Corte Constitucional, Sentencia C-251 de 1997. Magistrado Ponente: Alejandro Martínez Caballero. Pár. 5 </w:t>
      </w:r>
    </w:p>
  </w:footnote>
  <w:footnote w:id="9">
    <w:p w14:paraId="26688386"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En: ASBJØRN EIDE et al. </w:t>
      </w:r>
      <w:r w:rsidRPr="00655FEA">
        <w:rPr>
          <w:rFonts w:ascii="Times New Roman" w:eastAsia="Arial" w:hAnsi="Times New Roman" w:cs="Times New Roman"/>
          <w:color w:val="000000"/>
          <w:sz w:val="20"/>
          <w:szCs w:val="20"/>
          <w:lang w:val="en-US"/>
        </w:rPr>
        <w:t xml:space="preserve">(Eds.), </w:t>
      </w:r>
      <w:r w:rsidRPr="00655FEA">
        <w:rPr>
          <w:rFonts w:ascii="Times New Roman" w:eastAsia="Arial" w:hAnsi="Times New Roman" w:cs="Times New Roman"/>
          <w:i/>
          <w:color w:val="000000"/>
          <w:sz w:val="20"/>
          <w:szCs w:val="20"/>
          <w:lang w:val="en-US"/>
        </w:rPr>
        <w:t>Economic, Social and Cultural Rights</w:t>
      </w:r>
      <w:r w:rsidRPr="00655FEA">
        <w:rPr>
          <w:rFonts w:ascii="Times New Roman" w:eastAsia="Arial" w:hAnsi="Times New Roman" w:cs="Times New Roman"/>
          <w:color w:val="000000"/>
          <w:sz w:val="20"/>
          <w:szCs w:val="20"/>
          <w:lang w:val="en-US"/>
        </w:rPr>
        <w:t xml:space="preserve">, 2ª </w:t>
      </w:r>
      <w:r w:rsidRPr="00655FEA">
        <w:rPr>
          <w:rFonts w:ascii="Times New Roman" w:eastAsia="Arial" w:hAnsi="Times New Roman" w:cs="Times New Roman"/>
          <w:color w:val="000000"/>
          <w:sz w:val="20"/>
          <w:szCs w:val="20"/>
          <w:lang w:val="en-US"/>
        </w:rPr>
        <w:t xml:space="preserve">Edición, La Haya, Kluwer Law International, 2011. </w:t>
      </w:r>
      <w:r w:rsidRPr="00655FEA">
        <w:rPr>
          <w:rFonts w:ascii="Times New Roman" w:eastAsia="Arial" w:hAnsi="Times New Roman" w:cs="Times New Roman"/>
          <w:color w:val="000000"/>
          <w:sz w:val="20"/>
          <w:szCs w:val="20"/>
        </w:rPr>
        <w:t>Pág. 9</w:t>
      </w:r>
    </w:p>
  </w:footnote>
  <w:footnote w:id="10">
    <w:p w14:paraId="128A7809"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Dentro de los cuales se encuentran el derecho al medio ambiente, al desarrollo, a la paz, a la autodeterminación de los pueblos y al patrimonio común de la humanidad. Los mismos se encuentran orientados, en cierta forma, a la protección de aquellos intereses que resultan fundamentales para la humanidad como un todo. En:  MARÍA EUGENIA RODRÍGUEZ PALOP, </w:t>
      </w:r>
      <w:r w:rsidRPr="00655FEA">
        <w:rPr>
          <w:rFonts w:ascii="Times New Roman" w:eastAsia="Arial" w:hAnsi="Times New Roman" w:cs="Times New Roman"/>
          <w:i/>
          <w:color w:val="000000"/>
          <w:sz w:val="20"/>
          <w:szCs w:val="20"/>
        </w:rPr>
        <w:t>La nueva generación de Derechos Humanos. Origen y Justificación.</w:t>
      </w:r>
      <w:r w:rsidRPr="00655FEA">
        <w:rPr>
          <w:rFonts w:ascii="Times New Roman" w:eastAsia="Arial" w:hAnsi="Times New Roman" w:cs="Times New Roman"/>
          <w:color w:val="000000"/>
          <w:sz w:val="20"/>
          <w:szCs w:val="20"/>
        </w:rPr>
        <w:t xml:space="preserve"> Madrid. Instituto de Derechos Humanos “Bartolomé de las Casas” Universidad Carlos III de Madrid. Editorial Dykinson, 2010.</w:t>
      </w:r>
    </w:p>
  </w:footnote>
  <w:footnote w:id="11">
    <w:p w14:paraId="652BA844"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Al respecto, la Corte Constitucional ha establecido que: “</w:t>
      </w:r>
      <w:r w:rsidRPr="00655FEA">
        <w:rPr>
          <w:rFonts w:ascii="Times New Roman" w:eastAsia="Arial" w:hAnsi="Times New Roman" w:cs="Times New Roman"/>
          <w:i/>
          <w:color w:val="000000"/>
          <w:sz w:val="20"/>
          <w:szCs w:val="20"/>
        </w:rPr>
        <w:t>Los derechos humanos forman una unidad, pues son interdependientes, integrales y universales, de suerte que no es admisible que se desconozcan unos derechos so pretexto de salvaguardar otros. Esta interdependencia y unidad de los derechos humanos tiene como fundamento la idea de que para proteger verdaderamente la dignidad humana es necesario que la persona no sólo tenga órbitas de acción que se encuentren libres de interferencia ajena, como lo quería la filosofía liberal, sino que además es menester que el individuo tenga posibilidades de participación en los destinos colectivos de la sociedad de la cual hace parte, conforme a las aspiraciones de la filosofía democrática, y también que se le aseguren una mínimas condiciones materiales de existencia, según los postulados de las filosofías políticas de orientación social. Los derechos humanos son pues una unidad compleja. Por ello algunos sectores de la doctrina suelen clasificar los derechos humanos en derechos de libertad, provenientes de la tradición liberal, derechos de participación, que son desarrollo de la filosofía democrática, y derechos sociales prestacionales, que corresponden a la influencia de las corrientes de orientación social y socialista.</w:t>
      </w:r>
      <w:r w:rsidRPr="00655FEA">
        <w:rPr>
          <w:rFonts w:ascii="Times New Roman" w:eastAsia="Arial" w:hAnsi="Times New Roman" w:cs="Times New Roman"/>
          <w:color w:val="000000"/>
          <w:sz w:val="20"/>
          <w:szCs w:val="20"/>
        </w:rPr>
        <w:t>” Corte Constitucional, Sentencia C-251 de 1997. Magistrado Ponente: Alejandro Martínez Caballero</w:t>
      </w:r>
    </w:p>
  </w:footnote>
  <w:footnote w:id="12">
    <w:p w14:paraId="56E31EFB"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Al respecto, la Corte Constitucional ha dispuesto que: “</w:t>
      </w:r>
      <w:r w:rsidRPr="00655FEA">
        <w:rPr>
          <w:rFonts w:ascii="Times New Roman" w:eastAsia="Arial" w:hAnsi="Times New Roman" w:cs="Times New Roman"/>
          <w:i/>
          <w:color w:val="000000"/>
          <w:sz w:val="20"/>
          <w:szCs w:val="20"/>
        </w:rPr>
        <w:t xml:space="preserve">La Constitución acoge la fórmula del Estado social de derecho, la cual implica que las autoridades buscan no sólo garantizar a la persona esferas libres de interferencia ajena, sino que es su deber también asegurarles condiciones materiales mínimas de existencia, por lo cual el Estado debe realizar progresivamente los llamados derechos económicos, sociales y culturales. El Estado tiene frente a los particulares no sólo deberes de </w:t>
      </w:r>
      <w:r w:rsidRPr="00655FEA">
        <w:rPr>
          <w:rFonts w:ascii="Times New Roman" w:eastAsia="Arial" w:hAnsi="Times New Roman" w:cs="Times New Roman"/>
          <w:i/>
          <w:color w:val="000000"/>
          <w:sz w:val="20"/>
          <w:szCs w:val="20"/>
        </w:rPr>
        <w:t xml:space="preserve">abstención sino que debe igualmente realizar prestaciones positivas, sobre todo en materia social, a fin de asegurar las condiciones materiales mínimas, sin las cuales no es posible vivir una vida digna. Existe entonces una íntima relación entre la consagración del Estado social de derecho, el reconocimiento de la dignidad humana, y la incorporación de los llamados derechos de segunda generación.” </w:t>
      </w:r>
      <w:r w:rsidRPr="00655FEA">
        <w:rPr>
          <w:rFonts w:ascii="Times New Roman" w:eastAsia="Arial" w:hAnsi="Times New Roman" w:cs="Times New Roman"/>
          <w:color w:val="000000"/>
          <w:sz w:val="20"/>
          <w:szCs w:val="20"/>
        </w:rPr>
        <w:t>Corte Constitucional, Sentencia C-251 de 1997. Magistrado Ponente: Alejandro Martínez Caballero</w:t>
      </w:r>
    </w:p>
  </w:footnote>
  <w:footnote w:id="13">
    <w:p w14:paraId="62285AB3"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WENCHE BARTH EIDE y UWE KRACHT. </w:t>
      </w:r>
      <w:r w:rsidRPr="00655FEA">
        <w:rPr>
          <w:rFonts w:ascii="Times New Roman" w:eastAsia="Arial" w:hAnsi="Times New Roman" w:cs="Times New Roman"/>
          <w:i/>
          <w:color w:val="000000"/>
          <w:sz w:val="20"/>
          <w:szCs w:val="20"/>
          <w:lang w:val="en-US"/>
        </w:rPr>
        <w:t>Chapter 4: The Right to adequate food in Human Rights Instruments; Legal Norms and Interpretations</w:t>
      </w:r>
      <w:r w:rsidRPr="00655FEA">
        <w:rPr>
          <w:rFonts w:ascii="Times New Roman" w:eastAsia="Arial" w:hAnsi="Times New Roman" w:cs="Times New Roman"/>
          <w:color w:val="000000"/>
          <w:sz w:val="20"/>
          <w:szCs w:val="20"/>
          <w:lang w:val="en-US"/>
        </w:rPr>
        <w:t xml:space="preserve">.  </w:t>
      </w:r>
      <w:r w:rsidRPr="00655FEA">
        <w:rPr>
          <w:rFonts w:ascii="Times New Roman" w:eastAsia="Arial" w:hAnsi="Times New Roman" w:cs="Times New Roman"/>
          <w:color w:val="000000"/>
          <w:sz w:val="20"/>
          <w:szCs w:val="20"/>
          <w:lang w:val="en-US"/>
        </w:rPr>
        <w:t xml:space="preserve">En: WENCHE BARTH EIDE y UWE KRACHT, </w:t>
      </w:r>
      <w:r w:rsidRPr="00655FEA">
        <w:rPr>
          <w:rFonts w:ascii="Times New Roman" w:eastAsia="Arial" w:hAnsi="Times New Roman" w:cs="Times New Roman"/>
          <w:i/>
          <w:color w:val="000000"/>
          <w:sz w:val="20"/>
          <w:szCs w:val="20"/>
          <w:lang w:val="en-US"/>
        </w:rPr>
        <w:t xml:space="preserve">Food and Human Rights in Development Volume I, Legal and Institutional Dimensions and Selected Topics., </w:t>
      </w:r>
      <w:r w:rsidRPr="00655FEA">
        <w:rPr>
          <w:rFonts w:ascii="Times New Roman" w:eastAsia="Arial" w:hAnsi="Times New Roman" w:cs="Times New Roman"/>
          <w:color w:val="000000"/>
          <w:sz w:val="20"/>
          <w:szCs w:val="20"/>
          <w:lang w:val="en-US"/>
        </w:rPr>
        <w:t xml:space="preserve">Editorial Intersentia, Amberes/Oxford, 2005. </w:t>
      </w:r>
      <w:r w:rsidRPr="00655FEA">
        <w:rPr>
          <w:rFonts w:ascii="Times New Roman" w:eastAsia="Arial" w:hAnsi="Times New Roman" w:cs="Times New Roman"/>
          <w:color w:val="000000"/>
          <w:sz w:val="20"/>
          <w:szCs w:val="20"/>
        </w:rPr>
        <w:t>Pág. 100</w:t>
      </w:r>
    </w:p>
  </w:footnote>
  <w:footnote w:id="14">
    <w:p w14:paraId="412C64DC"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En lo referente a la obligación de respeto, </w:t>
      </w:r>
      <w:r w:rsidRPr="00655FEA">
        <w:rPr>
          <w:rFonts w:ascii="Times New Roman" w:eastAsia="Arial" w:hAnsi="Times New Roman" w:cs="Times New Roman"/>
          <w:i/>
          <w:color w:val="000000"/>
          <w:sz w:val="20"/>
          <w:szCs w:val="20"/>
        </w:rPr>
        <w:t>“(…) significa que los Estados deben abstenerse de interferir en el disfrute de los derechos humanos, o de limitarlos”</w:t>
      </w:r>
      <w:r w:rsidRPr="00655FEA">
        <w:rPr>
          <w:rFonts w:ascii="Times New Roman" w:eastAsia="Arial" w:hAnsi="Times New Roman" w:cs="Times New Roman"/>
          <w:color w:val="000000"/>
          <w:sz w:val="20"/>
          <w:szCs w:val="20"/>
        </w:rPr>
        <w:t>. En: La Oficina del Alto Comisionado para los Derechos Humanos define el criterio de inalienabilidad en el sentido de que “</w:t>
      </w:r>
      <w:r w:rsidRPr="00655FEA">
        <w:rPr>
          <w:rFonts w:ascii="Times New Roman" w:eastAsia="Arial" w:hAnsi="Times New Roman" w:cs="Times New Roman"/>
          <w:i/>
          <w:color w:val="000000"/>
          <w:sz w:val="20"/>
          <w:szCs w:val="20"/>
        </w:rPr>
        <w:t>Los derechos humanos son inalienables. No deben suprimirse, salvo en determinadas situaciones y según las debidas garantías procesales</w:t>
      </w:r>
      <w:r w:rsidRPr="00655FEA">
        <w:rPr>
          <w:rFonts w:ascii="Times New Roman" w:eastAsia="Arial" w:hAnsi="Times New Roman" w:cs="Times New Roman"/>
          <w:color w:val="000000"/>
          <w:sz w:val="20"/>
          <w:szCs w:val="20"/>
        </w:rPr>
        <w:t xml:space="preserve">.” En: Oficina del Alto Comisionado para los Derechos Humanos. (2014). </w:t>
      </w:r>
      <w:r w:rsidRPr="00655FEA">
        <w:rPr>
          <w:rFonts w:ascii="Times New Roman" w:eastAsia="Arial" w:hAnsi="Times New Roman" w:cs="Times New Roman"/>
          <w:i/>
          <w:color w:val="000000"/>
          <w:sz w:val="20"/>
          <w:szCs w:val="20"/>
        </w:rPr>
        <w:t>Sus Derechos Humanos</w:t>
      </w:r>
      <w:r w:rsidRPr="00655FEA">
        <w:rPr>
          <w:rFonts w:ascii="Times New Roman" w:eastAsia="Arial" w:hAnsi="Times New Roman" w:cs="Times New Roman"/>
          <w:color w:val="000000"/>
          <w:sz w:val="20"/>
          <w:szCs w:val="20"/>
        </w:rPr>
        <w:t>. Recuperado el 7 de octubre de 2014, de Naciones Unidas - Derechos Humanos - Oficina del Alto Comisionado para los Derechos Humanos: http://www.ohchr.org/SP/Issues/Pages/WhatareHumanRights.aspx. En el mismo sentido, ver: Artículo 1 y 2 del Pacto Internacional de Derechos Civiles y Políticos de 1966; Artículos 1 y 2 del Pacto Internacional de Derechos Económicos, Sociales y Culturales de 1966; Artículos 1.1 y 2 de la Convención Americana de Derechos Humanos; y Artículos 1 y 2 del Protocolo Adicional a la Convención Americana de Derechos Humanos en Materia de Derechos Económicos, Sociales y Culturales de 1988.</w:t>
      </w:r>
    </w:p>
  </w:footnote>
  <w:footnote w:id="15">
    <w:p w14:paraId="5F2631F9"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i/>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En lo referente a la obligación de protección, ésta exige que </w:t>
      </w:r>
      <w:r w:rsidRPr="00655FEA">
        <w:rPr>
          <w:rFonts w:ascii="Times New Roman" w:eastAsia="Arial" w:hAnsi="Times New Roman" w:cs="Times New Roman"/>
          <w:i/>
          <w:color w:val="000000"/>
          <w:sz w:val="20"/>
          <w:szCs w:val="20"/>
        </w:rPr>
        <w:t xml:space="preserve">“(…) los Estados impidan los abusos de los derechos humanos contra individuos y grupos”. En: </w:t>
      </w:r>
      <w:r w:rsidRPr="00655FEA">
        <w:rPr>
          <w:rFonts w:ascii="Times New Roman" w:eastAsia="Arial" w:hAnsi="Times New Roman" w:cs="Times New Roman"/>
          <w:color w:val="000000"/>
          <w:sz w:val="20"/>
          <w:szCs w:val="20"/>
        </w:rPr>
        <w:t xml:space="preserve">Oficina del Alto Comisionado para los Derechos Humanos. (2014). </w:t>
      </w:r>
      <w:r w:rsidRPr="00655FEA">
        <w:rPr>
          <w:rFonts w:ascii="Times New Roman" w:eastAsia="Arial" w:hAnsi="Times New Roman" w:cs="Times New Roman"/>
          <w:i/>
          <w:color w:val="000000"/>
          <w:sz w:val="20"/>
          <w:szCs w:val="20"/>
        </w:rPr>
        <w:t>Sus Derechos Humanos</w:t>
      </w:r>
      <w:r w:rsidRPr="00655FEA">
        <w:rPr>
          <w:rFonts w:ascii="Times New Roman" w:eastAsia="Arial" w:hAnsi="Times New Roman" w:cs="Times New Roman"/>
          <w:color w:val="000000"/>
          <w:sz w:val="20"/>
          <w:szCs w:val="20"/>
        </w:rPr>
        <w:t>. Recuperado el 7 de octubre de 2014, de Naciones Unidas - Derechos Humanos - Oficina del Alto Comisionado para los Derechos Humanos: http://www.ohchr.org/SP/Issues/Pages/WhatareHumanRights.aspx</w:t>
      </w:r>
      <w:r w:rsidRPr="00655FEA">
        <w:rPr>
          <w:rFonts w:ascii="Times New Roman" w:eastAsia="Arial" w:hAnsi="Times New Roman" w:cs="Times New Roman"/>
          <w:i/>
          <w:color w:val="000000"/>
          <w:sz w:val="20"/>
          <w:szCs w:val="20"/>
        </w:rPr>
        <w:t xml:space="preserve">. </w:t>
      </w:r>
      <w:r w:rsidRPr="00655FEA">
        <w:rPr>
          <w:rFonts w:ascii="Times New Roman" w:eastAsia="Arial" w:hAnsi="Times New Roman" w:cs="Times New Roman"/>
          <w:color w:val="000000"/>
          <w:sz w:val="20"/>
          <w:szCs w:val="20"/>
        </w:rPr>
        <w:t>En el mismo sentido, ver: Artículo 1 y 2 del Pacto Internacional de Derechos Civiles y Políticos de 1966; Artículos 1 y 2 del Pacto Internacional de Derechos Económicos, Sociales y Culturales de 1966; Artículos 1.1 y 2 de la Convención Americana de Derechos Humanos; y Artículos 1 y 2 del Protocolo Adicional a la Convención Americana de Derechos Humanos en Materia de Derechos Económicos, Sociales y Culturales de 1988.</w:t>
      </w:r>
    </w:p>
  </w:footnote>
  <w:footnote w:id="16">
    <w:p w14:paraId="5758066E"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En lo referente a la obligación de realización, ésta se refiera al deber </w:t>
      </w:r>
      <w:r w:rsidRPr="00655FEA">
        <w:rPr>
          <w:rFonts w:ascii="Times New Roman" w:eastAsia="Arial" w:hAnsi="Times New Roman" w:cs="Times New Roman"/>
          <w:color w:val="000000"/>
          <w:sz w:val="20"/>
          <w:szCs w:val="20"/>
        </w:rPr>
        <w:t>de  “</w:t>
      </w:r>
      <w:r w:rsidRPr="00655FEA">
        <w:rPr>
          <w:rFonts w:ascii="Times New Roman" w:eastAsia="Arial" w:hAnsi="Times New Roman" w:cs="Times New Roman"/>
          <w:i/>
          <w:color w:val="000000"/>
          <w:sz w:val="20"/>
          <w:szCs w:val="20"/>
        </w:rPr>
        <w:t>adoptar medidas positivas para facilitar el disfrute de los derechos humanos básicos.</w:t>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i/>
          <w:color w:val="000000"/>
          <w:sz w:val="20"/>
          <w:szCs w:val="20"/>
        </w:rPr>
        <w:t xml:space="preserve">En: </w:t>
      </w:r>
      <w:r w:rsidRPr="00655FEA">
        <w:rPr>
          <w:rFonts w:ascii="Times New Roman" w:eastAsia="Arial" w:hAnsi="Times New Roman" w:cs="Times New Roman"/>
          <w:color w:val="000000"/>
          <w:sz w:val="20"/>
          <w:szCs w:val="20"/>
        </w:rPr>
        <w:t xml:space="preserve">Oficina del Alto Comisionado para los Derechos Humanos. (2014). </w:t>
      </w:r>
      <w:r w:rsidRPr="00655FEA">
        <w:rPr>
          <w:rFonts w:ascii="Times New Roman" w:eastAsia="Arial" w:hAnsi="Times New Roman" w:cs="Times New Roman"/>
          <w:i/>
          <w:color w:val="000000"/>
          <w:sz w:val="20"/>
          <w:szCs w:val="20"/>
        </w:rPr>
        <w:t>Sus Derechos Humanos</w:t>
      </w:r>
      <w:r w:rsidRPr="00655FEA">
        <w:rPr>
          <w:rFonts w:ascii="Times New Roman" w:eastAsia="Arial" w:hAnsi="Times New Roman" w:cs="Times New Roman"/>
          <w:color w:val="000000"/>
          <w:sz w:val="20"/>
          <w:szCs w:val="20"/>
        </w:rPr>
        <w:t>. Recuperado el 7 de octubre de 2014, de Naciones Unidas - Derechos Humanos - Oficina del Alto Comisionado para los Derechos Humanos: http://www.ohchr.org/SP/Issues/Pages/WhatareHumanRights.aspx</w:t>
      </w:r>
      <w:r w:rsidRPr="00655FEA">
        <w:rPr>
          <w:rFonts w:ascii="Times New Roman" w:eastAsia="Arial" w:hAnsi="Times New Roman" w:cs="Times New Roman"/>
          <w:i/>
          <w:color w:val="000000"/>
          <w:sz w:val="20"/>
          <w:szCs w:val="20"/>
        </w:rPr>
        <w:t xml:space="preserve">. </w:t>
      </w:r>
      <w:r w:rsidRPr="00655FEA">
        <w:rPr>
          <w:rFonts w:ascii="Times New Roman" w:eastAsia="Arial" w:hAnsi="Times New Roman" w:cs="Times New Roman"/>
          <w:color w:val="000000"/>
          <w:sz w:val="20"/>
          <w:szCs w:val="20"/>
        </w:rPr>
        <w:t>En el mismo sentido, ver: Artículo 1 y 2 del Pacto Internacional de Derechos Civiles y Políticos de 1966; Artículos 1 y 2 del Pacto Internacional de Derechos Económicos, Sociales y Culturales de 1966; Artículos 1.1 y 2 de la Convención Americana de Derechos Humanos; y Artículos 1 y 2 del Protocolo Adicional a la Convención Americana de Derechos Humanos en Materia de Derechos Económicos, Sociales y Culturales de 1988.</w:t>
      </w:r>
    </w:p>
  </w:footnote>
  <w:footnote w:id="17">
    <w:p w14:paraId="66FB9628"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Al respecto ver: Artículo 2 del Pacto Internacional de Derechos Civiles y Políticos de 1966; Artículo 2 del Pacto Internacional de Derechos Económicos, Sociales y Culturales; Artículo 1.1 y 2 de la Convención Americana de Derechos Humanos; Artículos 1 y 2 del Protocolo Adicional a la Convención Americana de Derechos Humanos en Materia de Derechos Económicos, Sociales y Culturales de 1988.</w:t>
      </w:r>
    </w:p>
  </w:footnote>
  <w:footnote w:id="18">
    <w:p w14:paraId="5CBC6175"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i/>
          <w:color w:val="000000"/>
          <w:sz w:val="20"/>
          <w:szCs w:val="20"/>
        </w:rPr>
        <w:t xml:space="preserve">“Toda persona tiene derecho a un nivel de vida adecuado que le asegure, así como a su familia, la salud y el bienestar, </w:t>
      </w:r>
      <w:r w:rsidRPr="00655FEA">
        <w:rPr>
          <w:rFonts w:ascii="Times New Roman" w:eastAsia="Arial" w:hAnsi="Times New Roman" w:cs="Times New Roman"/>
          <w:b/>
          <w:i/>
          <w:color w:val="000000"/>
          <w:sz w:val="20"/>
          <w:szCs w:val="20"/>
        </w:rPr>
        <w:t>y en especial la alimentación</w:t>
      </w:r>
      <w:r w:rsidRPr="00655FEA">
        <w:rPr>
          <w:rFonts w:ascii="Times New Roman" w:eastAsia="Arial" w:hAnsi="Times New Roman" w:cs="Times New Roman"/>
          <w:i/>
          <w:color w:val="000000"/>
          <w:sz w:val="20"/>
          <w:szCs w:val="20"/>
        </w:rPr>
        <w:t xml:space="preserve">, el vestido, la vivienda, la asistencia médica y los servicios sociales necesarios; tiene asimismo derecho a los seguros en caso de desempleo, enfermedad, invalidez, viudez, vejez u otros casos de pérdida de sus medios de subsistencia por circunstancias independientes de su voluntad.” </w:t>
      </w:r>
      <w:r w:rsidRPr="00655FEA">
        <w:rPr>
          <w:rFonts w:ascii="Times New Roman" w:eastAsia="Arial" w:hAnsi="Times New Roman" w:cs="Times New Roman"/>
          <w:color w:val="000000"/>
          <w:sz w:val="20"/>
          <w:szCs w:val="20"/>
        </w:rPr>
        <w:t xml:space="preserve">(Se resalta) </w:t>
      </w:r>
    </w:p>
  </w:footnote>
  <w:footnote w:id="19">
    <w:p w14:paraId="41F3B90B"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i/>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i/>
          <w:color w:val="000000"/>
          <w:sz w:val="20"/>
          <w:szCs w:val="20"/>
        </w:rPr>
        <w:t xml:space="preserve">“1. Los </w:t>
      </w:r>
      <w:r w:rsidRPr="00655FEA">
        <w:rPr>
          <w:rFonts w:ascii="Times New Roman" w:eastAsia="Arial" w:hAnsi="Times New Roman" w:cs="Times New Roman"/>
          <w:i/>
          <w:color w:val="000000"/>
          <w:sz w:val="20"/>
          <w:szCs w:val="20"/>
        </w:rPr>
        <w:t xml:space="preserve">Estados Partes en el presente Pacto reconocen el derecho de toda persona a un nivel de vida adecuado para sí y su familia, incluso </w:t>
      </w:r>
      <w:r w:rsidRPr="00655FEA">
        <w:rPr>
          <w:rFonts w:ascii="Times New Roman" w:eastAsia="Arial" w:hAnsi="Times New Roman" w:cs="Times New Roman"/>
          <w:b/>
          <w:i/>
          <w:color w:val="000000"/>
          <w:sz w:val="20"/>
          <w:szCs w:val="20"/>
        </w:rPr>
        <w:t>alimentación</w:t>
      </w:r>
      <w:r w:rsidRPr="00655FEA">
        <w:rPr>
          <w:rFonts w:ascii="Times New Roman" w:eastAsia="Arial" w:hAnsi="Times New Roman" w:cs="Times New Roman"/>
          <w:i/>
          <w:color w:val="000000"/>
          <w:sz w:val="20"/>
          <w:szCs w:val="20"/>
        </w:rPr>
        <w:t xml:space="preserve">, vestido y vivienda </w:t>
      </w:r>
      <w:r w:rsidRPr="00655FEA">
        <w:rPr>
          <w:rFonts w:ascii="Times New Roman" w:eastAsia="Arial" w:hAnsi="Times New Roman" w:cs="Times New Roman"/>
          <w:b/>
          <w:i/>
          <w:color w:val="000000"/>
          <w:sz w:val="20"/>
          <w:szCs w:val="20"/>
        </w:rPr>
        <w:t>adecuados</w:t>
      </w:r>
      <w:r w:rsidRPr="00655FEA">
        <w:rPr>
          <w:rFonts w:ascii="Times New Roman" w:eastAsia="Arial" w:hAnsi="Times New Roman" w:cs="Times New Roman"/>
          <w:i/>
          <w:color w:val="000000"/>
          <w:sz w:val="20"/>
          <w:szCs w:val="20"/>
        </w:rPr>
        <w:t xml:space="preserve">, y a una mejora continua de las condiciones de existencia. Los Estados Partes tomarán medidas apropiadas para asegurar la efectividad de este derecho, reconociendo a este efecto la importancia esencial de la cooperación internacional fundada en el libre consentimiento. (…) 2. Los Estados Partes en el presente Pacto, reconociendo el derecho fundamental de toda persona a estar protegida contra el hambre, adoptarán, individualmente y mediante la cooperación internacional, las medidas, incluidos programas concretos, que se necesiten para: (…) a) 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 la explotación y la utilización más eficaces de las riquezas naturales; (…) b) Asegurar una distribución equitativa de los alimentos mundiales en relación con las necesidades, teniendo en cuenta los problemas que se plantean tanto a los países que importan productos alimenticios como a los que los exportan.” </w:t>
      </w:r>
      <w:r w:rsidRPr="00655FEA">
        <w:rPr>
          <w:rFonts w:ascii="Times New Roman" w:eastAsia="Arial" w:hAnsi="Times New Roman" w:cs="Times New Roman"/>
          <w:color w:val="000000"/>
          <w:sz w:val="20"/>
          <w:szCs w:val="20"/>
        </w:rPr>
        <w:t>(Se resalta)</w:t>
      </w:r>
    </w:p>
  </w:footnote>
  <w:footnote w:id="20">
    <w:p w14:paraId="3E0EB848"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Respecto a la Observación General, es preciso resaltar que la misma se constituye como una interpretación experta y autorizada respecto del contenido de los instrumentos de Derecho Internacional que contienen disposiciones relativas a los Derechos Humanos. La misma fue emitida por el órgano de supervisión del Tratado en cuestión, cuya competencia se irroga gracias a las disposiciones contenidas en el mismo. </w:t>
      </w:r>
      <w:r w:rsidRPr="00655FEA">
        <w:rPr>
          <w:rFonts w:ascii="Times New Roman" w:eastAsia="Arial" w:hAnsi="Times New Roman" w:cs="Times New Roman"/>
          <w:color w:val="000000"/>
          <w:sz w:val="20"/>
          <w:szCs w:val="20"/>
          <w:lang w:val="en-US"/>
        </w:rPr>
        <w:t xml:space="preserve">En: WENCHE BARTH EIDE y UWE KRACHT, </w:t>
      </w:r>
      <w:r w:rsidRPr="00655FEA">
        <w:rPr>
          <w:rFonts w:ascii="Times New Roman" w:eastAsia="Arial" w:hAnsi="Times New Roman" w:cs="Times New Roman"/>
          <w:i/>
          <w:color w:val="000000"/>
          <w:sz w:val="20"/>
          <w:szCs w:val="20"/>
          <w:lang w:val="en-US"/>
        </w:rPr>
        <w:t xml:space="preserve">Food and Human Rights in Development Volume I, Legal and Institutional Dimensions and Selected Topics., </w:t>
      </w:r>
      <w:r w:rsidRPr="00655FEA">
        <w:rPr>
          <w:rFonts w:ascii="Times New Roman" w:eastAsia="Arial" w:hAnsi="Times New Roman" w:cs="Times New Roman"/>
          <w:color w:val="000000"/>
          <w:sz w:val="20"/>
          <w:szCs w:val="20"/>
          <w:lang w:val="en-US"/>
        </w:rPr>
        <w:t xml:space="preserve">Editorial Intersentia, Amberes/Oxford, 2005. </w:t>
      </w:r>
      <w:r w:rsidRPr="00655FEA">
        <w:rPr>
          <w:rFonts w:ascii="Times New Roman" w:eastAsia="Arial" w:hAnsi="Times New Roman" w:cs="Times New Roman"/>
          <w:color w:val="000000"/>
          <w:sz w:val="20"/>
          <w:szCs w:val="20"/>
        </w:rPr>
        <w:t>Pág. 105. Así mismo, la Corte Constitucional en Sentencia C-251 de 1997 reconoce a dichas observaciones, en conjunción con otros informes oficiales provenientes del Relator de esta clase de derechos, la característica de ser “la doctrina internacional más autorizada en materia de Derechos Económicos, Sociales y Culturales”, como lo es en el presente caso el Derecho a la Alimentación adecuada.</w:t>
      </w:r>
    </w:p>
  </w:footnote>
  <w:footnote w:id="21">
    <w:p w14:paraId="55C08177"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i/>
          <w:color w:val="000000"/>
          <w:sz w:val="20"/>
          <w:szCs w:val="20"/>
        </w:rPr>
        <w:t xml:space="preserve">1. Los </w:t>
      </w:r>
      <w:r w:rsidRPr="00655FEA">
        <w:rPr>
          <w:rFonts w:ascii="Times New Roman" w:eastAsia="Arial" w:hAnsi="Times New Roman" w:cs="Times New Roman"/>
          <w:i/>
          <w:color w:val="000000"/>
          <w:sz w:val="20"/>
          <w:szCs w:val="20"/>
        </w:rPr>
        <w:t>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 (…) 2. Los Estados Partes asegurarán la plena aplicación de este derecho y, en particular, adoptarán las medidas apropiadas para: a) Reducir la mortalidad infantil y en la niñez;</w:t>
      </w:r>
      <w:r w:rsidRPr="00655FEA">
        <w:rPr>
          <w:rFonts w:ascii="Times New Roman" w:eastAsia="MS Gothic" w:hAnsi="Times New Roman" w:cs="Times New Roman"/>
          <w:i/>
          <w:color w:val="000000"/>
          <w:sz w:val="20"/>
          <w:szCs w:val="20"/>
        </w:rPr>
        <w:t> </w:t>
      </w:r>
      <w:r w:rsidRPr="00655FEA">
        <w:rPr>
          <w:rFonts w:ascii="Times New Roman" w:eastAsia="Arial" w:hAnsi="Times New Roman" w:cs="Times New Roman"/>
          <w:i/>
          <w:color w:val="000000"/>
          <w:sz w:val="20"/>
          <w:szCs w:val="20"/>
        </w:rPr>
        <w:t>b) Asegurar la prestación de la asistencia médica y la atención sanitaria que sean necesarias a todos los niños, haciendo hincapié en el desarrollo de la atención primaria de la salud;</w:t>
      </w:r>
      <w:r w:rsidRPr="00655FEA">
        <w:rPr>
          <w:rFonts w:ascii="Times New Roman" w:eastAsia="MS Gothic" w:hAnsi="Times New Roman" w:cs="Times New Roman"/>
          <w:i/>
          <w:color w:val="000000"/>
          <w:sz w:val="20"/>
          <w:szCs w:val="20"/>
        </w:rPr>
        <w:t> </w:t>
      </w:r>
      <w:r w:rsidRPr="00655FEA">
        <w:rPr>
          <w:rFonts w:ascii="Times New Roman" w:eastAsia="Arial" w:hAnsi="Times New Roman" w:cs="Times New Roman"/>
          <w:i/>
          <w:color w:val="000000"/>
          <w:sz w:val="20"/>
          <w:szCs w:val="20"/>
        </w:rPr>
        <w:t>c) Combatir las enfermedades y la mal 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w:t>
      </w:r>
      <w:r w:rsidRPr="00655FEA">
        <w:rPr>
          <w:rFonts w:ascii="Times New Roman" w:eastAsia="MS Gothic" w:hAnsi="Times New Roman" w:cs="Times New Roman"/>
          <w:i/>
          <w:color w:val="000000"/>
          <w:sz w:val="20"/>
          <w:szCs w:val="20"/>
        </w:rPr>
        <w:t> </w:t>
      </w:r>
      <w:r w:rsidRPr="00655FEA">
        <w:rPr>
          <w:rFonts w:ascii="Times New Roman" w:eastAsia="Arial" w:hAnsi="Times New Roman" w:cs="Times New Roman"/>
          <w:i/>
          <w:color w:val="000000"/>
          <w:sz w:val="20"/>
          <w:szCs w:val="20"/>
        </w:rPr>
        <w:t>d) Asegurar atención sanitaria prenatal y postnatal apropiada a las madres;</w:t>
      </w:r>
      <w:r w:rsidRPr="00655FEA">
        <w:rPr>
          <w:rFonts w:ascii="Times New Roman" w:eastAsia="MS Gothic" w:hAnsi="Times New Roman" w:cs="Times New Roman"/>
          <w:i/>
          <w:color w:val="000000"/>
          <w:sz w:val="20"/>
          <w:szCs w:val="20"/>
        </w:rPr>
        <w:t> </w:t>
      </w:r>
      <w:r w:rsidRPr="00655FEA">
        <w:rPr>
          <w:rFonts w:ascii="Times New Roman" w:eastAsia="Arial" w:hAnsi="Times New Roman" w:cs="Times New Roman"/>
          <w:i/>
          <w:color w:val="000000"/>
          <w:sz w:val="20"/>
          <w:szCs w:val="20"/>
        </w:rPr>
        <w:t>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w:t>
      </w:r>
      <w:r w:rsidRPr="00655FEA">
        <w:rPr>
          <w:rFonts w:ascii="Times New Roman" w:eastAsia="MS Gothic" w:hAnsi="Times New Roman" w:cs="Times New Roman"/>
          <w:i/>
          <w:color w:val="000000"/>
          <w:sz w:val="20"/>
          <w:szCs w:val="20"/>
        </w:rPr>
        <w:t> </w:t>
      </w:r>
      <w:r w:rsidRPr="00655FEA">
        <w:rPr>
          <w:rFonts w:ascii="Times New Roman" w:eastAsia="Arial" w:hAnsi="Times New Roman" w:cs="Times New Roman"/>
          <w:i/>
          <w:color w:val="000000"/>
          <w:sz w:val="20"/>
          <w:szCs w:val="20"/>
        </w:rPr>
        <w:t>f) Desarrollar la atención sanitaria preventiva, la orientación a los padres y la educación y servicios en materia de planificación de la familia.”</w:t>
      </w:r>
    </w:p>
  </w:footnote>
  <w:footnote w:id="22">
    <w:p w14:paraId="55338DDE"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i/>
          <w:color w:val="000000"/>
          <w:sz w:val="20"/>
          <w:szCs w:val="20"/>
        </w:rPr>
        <w:t xml:space="preserve">“2. Sin perjuicio de lo dispuesto en el párrafo 1 supra, los </w:t>
      </w:r>
      <w:r w:rsidRPr="00655FEA">
        <w:rPr>
          <w:rFonts w:ascii="Times New Roman" w:eastAsia="Arial" w:hAnsi="Times New Roman" w:cs="Times New Roman"/>
          <w:i/>
          <w:color w:val="000000"/>
          <w:sz w:val="20"/>
          <w:szCs w:val="20"/>
        </w:rPr>
        <w:t>Estados Partes garantizarán a la mujer servicios apropiados en relación con el embarazo, el parto y el período posterior al parto, proporcionando servicios gratuitos cuando fuere necesario y le asegurarán una nutrición adecuada durante el embarazo y la lactancia.”</w:t>
      </w:r>
    </w:p>
  </w:footnote>
  <w:footnote w:id="23">
    <w:p w14:paraId="35D65D1C"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i/>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25. f </w:t>
      </w:r>
      <w:r w:rsidRPr="00655FEA">
        <w:rPr>
          <w:rFonts w:ascii="Times New Roman" w:eastAsia="Arial" w:hAnsi="Times New Roman" w:cs="Times New Roman"/>
          <w:i/>
          <w:color w:val="000000"/>
          <w:sz w:val="20"/>
          <w:szCs w:val="20"/>
        </w:rPr>
        <w:t xml:space="preserve">“Impedirán que se nieguen, de manera discriminatoria, servicios de salud o de atención de la salud o alimentos sólidos o líquidos por motivos de discapacidad.”; </w:t>
      </w:r>
      <w:r w:rsidRPr="00655FEA">
        <w:rPr>
          <w:rFonts w:ascii="Times New Roman" w:eastAsia="Arial" w:hAnsi="Times New Roman" w:cs="Times New Roman"/>
          <w:color w:val="000000"/>
          <w:sz w:val="20"/>
          <w:szCs w:val="20"/>
        </w:rPr>
        <w:t xml:space="preserve">28.1 </w:t>
      </w:r>
      <w:r w:rsidRPr="00655FEA">
        <w:rPr>
          <w:rFonts w:ascii="Times New Roman" w:eastAsia="Arial" w:hAnsi="Times New Roman" w:cs="Times New Roman"/>
          <w:i/>
          <w:color w:val="000000"/>
          <w:sz w:val="20"/>
          <w:szCs w:val="20"/>
        </w:rPr>
        <w:t>“Los Estados Partes reconocen el derecho de las personas con discapacidad a un nivel de vida adecuado para ellas y sus familias, lo cual incluye alimentación, vestido y vivienda adecuados, y a la mejora continua de sus condiciones de vida, y adoptarán las medidas pertinentes para salvaguardar y promover el ejercicio de este derecho sin discriminación por motivos de discapacidad.”</w:t>
      </w:r>
    </w:p>
  </w:footnote>
  <w:footnote w:id="24">
    <w:p w14:paraId="7BBEBE61" w14:textId="77777777" w:rsidR="003F7E77" w:rsidRPr="00655FEA" w:rsidRDefault="003F7E77" w:rsidP="003F7E77">
      <w:pPr>
        <w:widowControl w:val="0"/>
        <w:spacing w:after="0" w:line="240" w:lineRule="auto"/>
        <w:jc w:val="both"/>
        <w:rPr>
          <w:rFonts w:ascii="Times New Roman" w:eastAsia="Arial" w:hAnsi="Times New Roman" w:cs="Times New Roman"/>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sz w:val="20"/>
          <w:szCs w:val="20"/>
        </w:rPr>
        <w:t xml:space="preserve"> “</w:t>
      </w:r>
      <w:r w:rsidRPr="00655FEA">
        <w:rPr>
          <w:rFonts w:ascii="Times New Roman" w:eastAsia="Arial" w:hAnsi="Times New Roman" w:cs="Times New Roman"/>
          <w:i/>
          <w:sz w:val="20"/>
          <w:szCs w:val="20"/>
        </w:rPr>
        <w:t xml:space="preserve">1. Toda persona tiene derecho a una nutrición adecuada que le asegure la posibilidad de gozar del </w:t>
      </w:r>
      <w:r w:rsidRPr="00655FEA">
        <w:rPr>
          <w:rFonts w:ascii="Times New Roman" w:eastAsia="MS Gothic" w:hAnsi="Times New Roman" w:cs="Times New Roman"/>
          <w:i/>
          <w:sz w:val="20"/>
          <w:szCs w:val="20"/>
        </w:rPr>
        <w:t> </w:t>
      </w:r>
      <w:r w:rsidRPr="00655FEA">
        <w:rPr>
          <w:rFonts w:ascii="Times New Roman" w:eastAsia="Arial" w:hAnsi="Times New Roman" w:cs="Times New Roman"/>
          <w:i/>
          <w:sz w:val="20"/>
          <w:szCs w:val="20"/>
        </w:rPr>
        <w:t xml:space="preserve">más alto nivel de desarrollo físico, emocional e intelectual. (…)2. Con el objeto de hacer efectivo este derecho y a erradicar la desnutrición, los </w:t>
      </w:r>
      <w:r w:rsidRPr="00655FEA">
        <w:rPr>
          <w:rFonts w:ascii="Times New Roman" w:eastAsia="Arial" w:hAnsi="Times New Roman" w:cs="Times New Roman"/>
          <w:i/>
          <w:sz w:val="20"/>
          <w:szCs w:val="20"/>
        </w:rPr>
        <w:t>Estados partes se</w:t>
      </w:r>
      <w:r w:rsidRPr="00655FEA">
        <w:rPr>
          <w:rFonts w:ascii="Times New Roman" w:eastAsia="MS Gothic" w:hAnsi="Times New Roman" w:cs="Times New Roman"/>
          <w:i/>
          <w:sz w:val="20"/>
          <w:szCs w:val="20"/>
        </w:rPr>
        <w:t> </w:t>
      </w:r>
      <w:r w:rsidRPr="00655FEA">
        <w:rPr>
          <w:rFonts w:ascii="Times New Roman" w:eastAsia="Arial" w:hAnsi="Times New Roman" w:cs="Times New Roman"/>
          <w:i/>
          <w:sz w:val="20"/>
          <w:szCs w:val="20"/>
        </w:rPr>
        <w:t xml:space="preserve">comprometen a perfeccionar los métodos de producción, aprovisionamiento y distribución de </w:t>
      </w:r>
      <w:r w:rsidRPr="00655FEA">
        <w:rPr>
          <w:rFonts w:ascii="Times New Roman" w:eastAsia="MS Gothic" w:hAnsi="Times New Roman" w:cs="Times New Roman"/>
          <w:i/>
          <w:sz w:val="20"/>
          <w:szCs w:val="20"/>
        </w:rPr>
        <w:t> </w:t>
      </w:r>
      <w:r w:rsidRPr="00655FEA">
        <w:rPr>
          <w:rFonts w:ascii="Times New Roman" w:eastAsia="Arial" w:hAnsi="Times New Roman" w:cs="Times New Roman"/>
          <w:i/>
          <w:sz w:val="20"/>
          <w:szCs w:val="20"/>
        </w:rPr>
        <w:t>alimentos, para lo cual se comprometen a promover una mayor cooperación internacional en apoyo de las políticas nacionales sobre la materia.”</w:t>
      </w:r>
    </w:p>
  </w:footnote>
  <w:footnote w:id="25">
    <w:p w14:paraId="5F9A8CD1"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Ver: Comisión Africana de Derechos Humanos y de los Pueblos. </w:t>
      </w:r>
      <w:r w:rsidRPr="00655FEA">
        <w:rPr>
          <w:rFonts w:ascii="Times New Roman" w:eastAsia="Arial" w:hAnsi="Times New Roman" w:cs="Times New Roman"/>
          <w:color w:val="000000"/>
          <w:sz w:val="20"/>
          <w:szCs w:val="20"/>
          <w:lang w:val="en-US"/>
        </w:rPr>
        <w:t xml:space="preserve">Caso </w:t>
      </w:r>
      <w:r w:rsidRPr="00655FEA">
        <w:rPr>
          <w:rFonts w:ascii="Times New Roman" w:eastAsia="Arial" w:hAnsi="Times New Roman" w:cs="Times New Roman"/>
          <w:i/>
          <w:color w:val="000000"/>
          <w:sz w:val="20"/>
          <w:szCs w:val="20"/>
          <w:lang w:val="en-US"/>
        </w:rPr>
        <w:t>“The Social and Economic Rights Action Center and the Center for Economic and Social Rights v. Nigeria”</w:t>
      </w:r>
      <w:r w:rsidRPr="00655FEA">
        <w:rPr>
          <w:rFonts w:ascii="Times New Roman" w:eastAsia="Arial" w:hAnsi="Times New Roman" w:cs="Times New Roman"/>
          <w:color w:val="000000"/>
          <w:sz w:val="20"/>
          <w:szCs w:val="20"/>
          <w:lang w:val="en-US"/>
        </w:rPr>
        <w:t xml:space="preserve">, </w:t>
      </w:r>
      <w:r w:rsidRPr="00655FEA">
        <w:rPr>
          <w:rFonts w:ascii="Times New Roman" w:eastAsia="Arial" w:hAnsi="Times New Roman" w:cs="Times New Roman"/>
          <w:color w:val="000000"/>
          <w:sz w:val="20"/>
          <w:szCs w:val="20"/>
          <w:lang w:val="en-US"/>
        </w:rPr>
        <w:t xml:space="preserve">comunicación No. 155/96, párr. </w:t>
      </w:r>
      <w:r w:rsidRPr="00655FEA">
        <w:rPr>
          <w:rFonts w:ascii="Times New Roman" w:eastAsia="Arial" w:hAnsi="Times New Roman" w:cs="Times New Roman"/>
          <w:color w:val="000000"/>
          <w:sz w:val="20"/>
          <w:szCs w:val="20"/>
        </w:rPr>
        <w:t>64</w:t>
      </w:r>
    </w:p>
  </w:footnote>
  <w:footnote w:id="26">
    <w:p w14:paraId="47191840"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Consejo Económico y Social de las Naciones Unidas. </w:t>
      </w:r>
      <w:r w:rsidRPr="00655FEA">
        <w:rPr>
          <w:rFonts w:ascii="Times New Roman" w:eastAsia="Arial" w:hAnsi="Times New Roman" w:cs="Times New Roman"/>
          <w:i/>
          <w:color w:val="000000"/>
          <w:sz w:val="20"/>
          <w:szCs w:val="20"/>
        </w:rPr>
        <w:t>Cuestiones sustantivas que se plantean en la aplicación del pacto de derechos económicos, sociales y culturales.</w:t>
      </w:r>
      <w:r w:rsidRPr="00655FEA">
        <w:rPr>
          <w:rFonts w:ascii="Times New Roman" w:eastAsia="Arial" w:hAnsi="Times New Roman" w:cs="Times New Roman"/>
          <w:color w:val="000000"/>
          <w:sz w:val="20"/>
          <w:szCs w:val="20"/>
        </w:rPr>
        <w:t xml:space="preserve"> Observación General 12. 20º Periodo de Sesiones. 1999</w:t>
      </w:r>
    </w:p>
  </w:footnote>
  <w:footnote w:id="27">
    <w:p w14:paraId="28C41F6D"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Oficina del Alto Comisionado de las Naciones Unidas para los Derechos Humanos. </w:t>
      </w:r>
      <w:r w:rsidRPr="00655FEA">
        <w:rPr>
          <w:rFonts w:ascii="Times New Roman" w:eastAsia="Arial" w:hAnsi="Times New Roman" w:cs="Times New Roman"/>
          <w:i/>
          <w:color w:val="000000"/>
          <w:sz w:val="20"/>
          <w:szCs w:val="20"/>
        </w:rPr>
        <w:t>Folleto Informativo No. 27.</w:t>
      </w:r>
    </w:p>
  </w:footnote>
  <w:footnote w:id="28">
    <w:p w14:paraId="06F659B7"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Consejo Económico y Social de las Naciones Unidas. </w:t>
      </w:r>
      <w:r w:rsidRPr="00655FEA">
        <w:rPr>
          <w:rFonts w:ascii="Times New Roman" w:eastAsia="Arial" w:hAnsi="Times New Roman" w:cs="Times New Roman"/>
          <w:i/>
          <w:color w:val="000000"/>
          <w:sz w:val="20"/>
          <w:szCs w:val="20"/>
        </w:rPr>
        <w:t>Cuestiones sustantivas que se plantean en la aplicación del pacto de derechos económicos, sociales y culturales.</w:t>
      </w:r>
      <w:r w:rsidRPr="00655FEA">
        <w:rPr>
          <w:rFonts w:ascii="Times New Roman" w:eastAsia="Arial" w:hAnsi="Times New Roman" w:cs="Times New Roman"/>
          <w:color w:val="000000"/>
          <w:sz w:val="20"/>
          <w:szCs w:val="20"/>
        </w:rPr>
        <w:t xml:space="preserve"> Observación General 12. 20º Periodo de Sesiones. 1999. Pár. 15</w:t>
      </w:r>
    </w:p>
  </w:footnote>
  <w:footnote w:id="29">
    <w:p w14:paraId="33DC6F0A"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Consejo Económico y Social de las Naciones Unidas. </w:t>
      </w:r>
      <w:r w:rsidRPr="00655FEA">
        <w:rPr>
          <w:rFonts w:ascii="Times New Roman" w:eastAsia="Arial" w:hAnsi="Times New Roman" w:cs="Times New Roman"/>
          <w:i/>
          <w:color w:val="000000"/>
          <w:sz w:val="20"/>
          <w:szCs w:val="20"/>
        </w:rPr>
        <w:t>Cuestiones sustantivas que se plantean en la aplicación del pacto de derechos económicos, sociales y culturales.</w:t>
      </w:r>
      <w:r w:rsidRPr="00655FEA">
        <w:rPr>
          <w:rFonts w:ascii="Times New Roman" w:eastAsia="Arial" w:hAnsi="Times New Roman" w:cs="Times New Roman"/>
          <w:color w:val="000000"/>
          <w:sz w:val="20"/>
          <w:szCs w:val="20"/>
        </w:rPr>
        <w:t xml:space="preserve"> Observación General 12. 20º Periodo de Sesiones. 1999. Pár. 21</w:t>
      </w:r>
    </w:p>
  </w:footnote>
  <w:footnote w:id="30">
    <w:p w14:paraId="2A9C96E5" w14:textId="77777777" w:rsidR="003F7E77" w:rsidRPr="00655FEA" w:rsidRDefault="003F7E77" w:rsidP="003F7E77">
      <w:pPr>
        <w:pBdr>
          <w:top w:val="nil"/>
          <w:left w:val="nil"/>
          <w:bottom w:val="nil"/>
          <w:right w:val="nil"/>
          <w:between w:val="nil"/>
        </w:pBdr>
        <w:spacing w:after="0" w:line="240" w:lineRule="auto"/>
        <w:jc w:val="both"/>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Amartya K. Sen, El derecho a no tener hambre. Estudios de Filosofía y Derecho No. 3 Universidad Externado de Colombia: 2002.</w:t>
      </w:r>
    </w:p>
  </w:footnote>
  <w:footnote w:id="31">
    <w:p w14:paraId="545594E0" w14:textId="77777777" w:rsidR="003F7E77" w:rsidRPr="00655FEA" w:rsidRDefault="003F7E77" w:rsidP="003F7E77">
      <w:pPr>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color w:val="000000"/>
          <w:sz w:val="20"/>
          <w:szCs w:val="20"/>
        </w:rPr>
        <w:t>Ibídem.</w:t>
      </w:r>
    </w:p>
  </w:footnote>
  <w:footnote w:id="32">
    <w:p w14:paraId="723D2C5D" w14:textId="77777777" w:rsidR="003F7E77" w:rsidRPr="00655FEA" w:rsidRDefault="003F7E77" w:rsidP="003F7E77">
      <w:pPr>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655FEA">
        <w:rPr>
          <w:rFonts w:ascii="Times New Roman" w:hAnsi="Times New Roman" w:cs="Times New Roman"/>
          <w:sz w:val="20"/>
          <w:szCs w:val="20"/>
          <w:vertAlign w:val="superscript"/>
        </w:rPr>
        <w:footnoteRef/>
      </w:r>
      <w:r w:rsidRPr="00655FEA">
        <w:rPr>
          <w:rFonts w:ascii="Times New Roman" w:eastAsia="Arial" w:hAnsi="Times New Roman" w:cs="Times New Roman"/>
          <w:color w:val="000000"/>
          <w:sz w:val="20"/>
          <w:szCs w:val="20"/>
        </w:rPr>
        <w:t xml:space="preserve"> </w:t>
      </w:r>
      <w:r w:rsidRPr="00655FEA">
        <w:rPr>
          <w:rFonts w:ascii="Times New Roman" w:eastAsia="Arial" w:hAnsi="Times New Roman" w:cs="Times New Roman"/>
          <w:color w:val="000000"/>
          <w:sz w:val="20"/>
          <w:szCs w:val="20"/>
        </w:rPr>
        <w:t>Ibídem.</w:t>
      </w:r>
    </w:p>
  </w:footnote>
  <w:footnote w:id="33">
    <w:p w14:paraId="74B7F794" w14:textId="77777777" w:rsidR="00B53DEA" w:rsidRDefault="00B53DEA" w:rsidP="00B53D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Información obtenida de: </w:t>
      </w:r>
      <w:r>
        <w:rPr>
          <w:color w:val="000000"/>
          <w:sz w:val="20"/>
          <w:szCs w:val="20"/>
        </w:rPr>
        <w:t xml:space="preserve">Constitute Project. </w:t>
      </w:r>
    </w:p>
  </w:footnote>
  <w:footnote w:id="34">
    <w:p w14:paraId="2FDBE791" w14:textId="77777777" w:rsidR="003F7E77" w:rsidRPr="00236C47" w:rsidRDefault="003F7E77" w:rsidP="003F7E77">
      <w:pPr>
        <w:pStyle w:val="Textonotapie"/>
        <w:jc w:val="both"/>
        <w:rPr>
          <w:rFonts w:ascii="Arial" w:hAnsi="Arial" w:cs="Arial"/>
          <w:sz w:val="18"/>
          <w:szCs w:val="18"/>
        </w:rPr>
      </w:pPr>
      <w:r w:rsidRPr="00236C47">
        <w:rPr>
          <w:rStyle w:val="Refdenotaalpie"/>
          <w:rFonts w:ascii="Arial" w:hAnsi="Arial" w:cs="Arial"/>
          <w:sz w:val="18"/>
          <w:szCs w:val="18"/>
        </w:rPr>
        <w:footnoteRef/>
      </w:r>
      <w:r w:rsidRPr="00236C47">
        <w:rPr>
          <w:rFonts w:ascii="Arial" w:hAnsi="Arial" w:cs="Arial"/>
          <w:sz w:val="18"/>
          <w:szCs w:val="18"/>
        </w:rPr>
        <w:t xml:space="preserve"> Consejo Económico y Social de las Naciones Unidas. </w:t>
      </w:r>
      <w:r w:rsidRPr="00236C47">
        <w:rPr>
          <w:rFonts w:ascii="Arial" w:hAnsi="Arial" w:cs="Arial"/>
          <w:i/>
          <w:sz w:val="18"/>
          <w:szCs w:val="18"/>
        </w:rPr>
        <w:t>Cuestiones sustantivas que se plantean en la aplicación del pacto de derechos económicos, sociales y culturales.</w:t>
      </w:r>
      <w:r w:rsidRPr="00236C47">
        <w:rPr>
          <w:rFonts w:ascii="Arial" w:hAnsi="Arial" w:cs="Arial"/>
          <w:sz w:val="18"/>
          <w:szCs w:val="18"/>
        </w:rPr>
        <w:t xml:space="preserve"> Observación General 12. 20º Periodo de Sesiones. 1999.</w:t>
      </w:r>
    </w:p>
  </w:footnote>
  <w:footnote w:id="35">
    <w:p w14:paraId="224F8237" w14:textId="77777777" w:rsidR="003F7E77" w:rsidRPr="00236C47" w:rsidRDefault="003F7E77" w:rsidP="003F7E77">
      <w:pPr>
        <w:pStyle w:val="Textonotapie"/>
        <w:jc w:val="both"/>
        <w:rPr>
          <w:rFonts w:ascii="Arial" w:hAnsi="Arial" w:cs="Arial"/>
          <w:sz w:val="18"/>
          <w:szCs w:val="18"/>
        </w:rPr>
      </w:pPr>
      <w:r w:rsidRPr="00236C47">
        <w:rPr>
          <w:rStyle w:val="Refdenotaalpie"/>
          <w:rFonts w:ascii="Arial" w:hAnsi="Arial" w:cs="Arial"/>
          <w:sz w:val="18"/>
          <w:szCs w:val="18"/>
        </w:rPr>
        <w:footnoteRef/>
      </w:r>
      <w:r w:rsidRPr="00236C47">
        <w:rPr>
          <w:rFonts w:ascii="Arial" w:hAnsi="Arial" w:cs="Arial"/>
          <w:sz w:val="18"/>
          <w:szCs w:val="18"/>
        </w:rPr>
        <w:t xml:space="preserve"> FAO, </w:t>
      </w:r>
      <w:r w:rsidRPr="00236C47">
        <w:rPr>
          <w:rFonts w:ascii="Arial" w:hAnsi="Arial" w:cs="Arial"/>
          <w:i/>
          <w:sz w:val="18"/>
          <w:szCs w:val="18"/>
        </w:rPr>
        <w:t>El Estado de la Inseguridad Alimentaria en el Mundo</w:t>
      </w:r>
      <w:r w:rsidRPr="00236C47">
        <w:rPr>
          <w:rFonts w:ascii="Arial" w:hAnsi="Arial" w:cs="Arial"/>
          <w:sz w:val="18"/>
          <w:szCs w:val="18"/>
        </w:rPr>
        <w:t xml:space="preserve"> – 2001. Roma, 2001 En: Oficina del Alto Comisionado de las Naciones Unidas para los Derechos Humanos - FAO. </w:t>
      </w:r>
      <w:r w:rsidRPr="00236C47">
        <w:rPr>
          <w:rFonts w:ascii="Arial" w:hAnsi="Arial" w:cs="Arial"/>
          <w:i/>
          <w:sz w:val="18"/>
          <w:szCs w:val="18"/>
        </w:rPr>
        <w:t xml:space="preserve">Folleto Informativo No. 34. El derecho a la alimentación adecuada. </w:t>
      </w:r>
      <w:r w:rsidRPr="00236C47">
        <w:rPr>
          <w:rFonts w:ascii="Arial" w:hAnsi="Arial" w:cs="Arial"/>
          <w:sz w:val="18"/>
          <w:szCs w:val="18"/>
        </w:rPr>
        <w:t>Pág. 5</w:t>
      </w:r>
    </w:p>
  </w:footnote>
  <w:footnote w:id="36">
    <w:p w14:paraId="5F4337F8" w14:textId="77777777" w:rsidR="003F7E77" w:rsidRPr="00236C47" w:rsidRDefault="003F7E77" w:rsidP="003F7E77">
      <w:pPr>
        <w:pStyle w:val="Textonotapie"/>
        <w:jc w:val="both"/>
        <w:rPr>
          <w:rFonts w:ascii="Arial" w:hAnsi="Arial" w:cs="Arial"/>
          <w:sz w:val="18"/>
          <w:szCs w:val="18"/>
        </w:rPr>
      </w:pPr>
      <w:r w:rsidRPr="00236C47">
        <w:rPr>
          <w:rStyle w:val="Refdenotaalpie"/>
          <w:rFonts w:ascii="Arial" w:hAnsi="Arial" w:cs="Arial"/>
          <w:sz w:val="18"/>
          <w:szCs w:val="18"/>
        </w:rPr>
        <w:footnoteRef/>
      </w:r>
      <w:r w:rsidRPr="00236C47">
        <w:rPr>
          <w:rFonts w:ascii="Arial" w:hAnsi="Arial" w:cs="Arial"/>
          <w:sz w:val="18"/>
          <w:szCs w:val="18"/>
        </w:rPr>
        <w:t xml:space="preserve"> Oficina del Alto Comisionado de las Naciones Unidas para los Derechos Humanos - FAO. </w:t>
      </w:r>
      <w:r w:rsidRPr="00236C47">
        <w:rPr>
          <w:rFonts w:ascii="Arial" w:hAnsi="Arial" w:cs="Arial"/>
          <w:i/>
          <w:sz w:val="18"/>
          <w:szCs w:val="18"/>
        </w:rPr>
        <w:t xml:space="preserve">Folleto Informativo No. 34. El derecho a la alimentación adecuada. </w:t>
      </w:r>
      <w:r w:rsidRPr="00236C47">
        <w:rPr>
          <w:rFonts w:ascii="Arial" w:hAnsi="Arial" w:cs="Arial"/>
          <w:sz w:val="18"/>
          <w:szCs w:val="18"/>
        </w:rPr>
        <w:t>Págs. 5 – 6.</w:t>
      </w:r>
    </w:p>
  </w:footnote>
  <w:footnote w:id="37">
    <w:p w14:paraId="30C70394" w14:textId="77777777" w:rsidR="003F7E77" w:rsidRPr="00C45DD8" w:rsidRDefault="003F7E77" w:rsidP="003F7E77">
      <w:pPr>
        <w:pStyle w:val="Textonotapie"/>
        <w:jc w:val="both"/>
        <w:rPr>
          <w:rFonts w:ascii="Times New Roman" w:hAnsi="Times New Roman"/>
          <w:sz w:val="18"/>
          <w:szCs w:val="18"/>
        </w:rPr>
      </w:pPr>
      <w:r w:rsidRPr="00236C47">
        <w:rPr>
          <w:rStyle w:val="Refdenotaalpie"/>
          <w:rFonts w:ascii="Arial" w:hAnsi="Arial" w:cs="Arial"/>
          <w:sz w:val="18"/>
          <w:szCs w:val="18"/>
        </w:rPr>
        <w:footnoteRef/>
      </w:r>
      <w:r w:rsidRPr="00236C47">
        <w:rPr>
          <w:rFonts w:ascii="Arial" w:hAnsi="Arial" w:cs="Arial"/>
          <w:sz w:val="18"/>
          <w:szCs w:val="18"/>
        </w:rPr>
        <w:t xml:space="preserve"> Oficina del Alto Comisionado de las Naciones Unidas para los Derechos Humanos - FAO. </w:t>
      </w:r>
      <w:r w:rsidRPr="00236C47">
        <w:rPr>
          <w:rFonts w:ascii="Arial" w:hAnsi="Arial" w:cs="Arial"/>
          <w:i/>
          <w:sz w:val="18"/>
          <w:szCs w:val="18"/>
        </w:rPr>
        <w:t xml:space="preserve">Folleto Informativo No. 34. El derecho a la alimentación adecuada. </w:t>
      </w:r>
      <w:r w:rsidRPr="00236C47">
        <w:rPr>
          <w:rFonts w:ascii="Arial" w:hAnsi="Arial" w:cs="Arial"/>
          <w:sz w:val="18"/>
          <w:szCs w:val="18"/>
        </w:rPr>
        <w:t>Pág. 6.</w:t>
      </w:r>
    </w:p>
  </w:footnote>
  <w:footnote w:id="38">
    <w:p w14:paraId="5DE1207A" w14:textId="77777777" w:rsidR="003F7E77" w:rsidRPr="00E72739" w:rsidRDefault="003F7E77" w:rsidP="003F7E77">
      <w:pPr>
        <w:pStyle w:val="Textonotapie"/>
        <w:jc w:val="both"/>
        <w:rPr>
          <w:rFonts w:ascii="Times New Roman" w:hAnsi="Times New Roman"/>
          <w:lang w:val="es-MX"/>
        </w:rPr>
      </w:pPr>
      <w:r w:rsidRPr="00E72739">
        <w:rPr>
          <w:rStyle w:val="Refdenotaalpie"/>
          <w:rFonts w:ascii="Times New Roman" w:hAnsi="Times New Roman"/>
        </w:rPr>
        <w:footnoteRef/>
      </w:r>
      <w:r w:rsidRPr="00E72739">
        <w:rPr>
          <w:rFonts w:ascii="Times New Roman" w:hAnsi="Times New Roman"/>
        </w:rPr>
        <w:t xml:space="preserve"> </w:t>
      </w:r>
      <w:r w:rsidRPr="00E72739">
        <w:rPr>
          <w:rFonts w:ascii="Times New Roman" w:hAnsi="Times New Roman"/>
          <w:lang w:val="es-MX"/>
        </w:rPr>
        <w:t xml:space="preserve">Ver: Jorge Andrés Obando Moreno “Seguridad y soberanía alimentaria en los conflictos ambientales colombianos. Análisis de los conflictos actuales y la jurisprudencia de la Corte Constitucional” en: María del Pilar García Pachón (Ed). </w:t>
      </w:r>
      <w:r>
        <w:rPr>
          <w:rFonts w:ascii="Times New Roman" w:hAnsi="Times New Roman"/>
          <w:lang w:val="es-MX"/>
        </w:rPr>
        <w:t>“</w:t>
      </w:r>
      <w:r w:rsidRPr="00E72739">
        <w:rPr>
          <w:rFonts w:ascii="Times New Roman" w:hAnsi="Times New Roman"/>
          <w:lang w:val="es-MX"/>
        </w:rPr>
        <w:t>Lecturas sobre derecho del Medio Ambiente Tomo XX</w:t>
      </w:r>
      <w:r>
        <w:rPr>
          <w:rFonts w:ascii="Times New Roman" w:hAnsi="Times New Roman"/>
          <w:lang w:val="es-MX"/>
        </w:rPr>
        <w:t>” -</w:t>
      </w:r>
      <w:r w:rsidRPr="00E72739">
        <w:rPr>
          <w:rFonts w:ascii="Times New Roman" w:hAnsi="Times New Roman"/>
          <w:lang w:val="es-MX"/>
        </w:rPr>
        <w:t xml:space="preserve"> Universidad Externado de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EC0" w14:textId="77777777" w:rsidR="00B327CE" w:rsidRDefault="00DF7BF8" w:rsidP="00B327CE">
    <w:pPr>
      <w:pBdr>
        <w:top w:val="nil"/>
        <w:left w:val="nil"/>
        <w:bottom w:val="nil"/>
        <w:right w:val="nil"/>
        <w:between w:val="nil"/>
      </w:pBdr>
      <w:rPr>
        <w:sz w:val="20"/>
        <w:szCs w:val="20"/>
      </w:rPr>
    </w:pPr>
    <w:r>
      <w:rPr>
        <w:noProof/>
      </w:rPr>
      <w:drawing>
        <wp:anchor distT="0" distB="0" distL="0" distR="0" simplePos="0" relativeHeight="251659264" behindDoc="0" locked="0" layoutInCell="1" allowOverlap="1" wp14:anchorId="2F3AB93F" wp14:editId="7AE16832">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88" name="image1.png"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88" name="image1.png" descr="Interfaz de usuario gráfica, Texto&#10;&#10;Descripción generada automáticamente"/>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60B35AD7" w14:textId="77777777" w:rsidR="00B327CE" w:rsidRDefault="001F0AF4" w:rsidP="00B327CE">
    <w:pPr>
      <w:pBdr>
        <w:top w:val="nil"/>
        <w:left w:val="nil"/>
        <w:bottom w:val="nil"/>
        <w:right w:val="nil"/>
        <w:between w:val="nil"/>
      </w:pBdr>
      <w:rPr>
        <w:sz w:val="20"/>
        <w:szCs w:val="20"/>
      </w:rPr>
    </w:pPr>
  </w:p>
  <w:p w14:paraId="5BB0C1B2" w14:textId="77777777" w:rsidR="00B327CE" w:rsidRDefault="001F0AF4" w:rsidP="00B327CE">
    <w:pPr>
      <w:pBdr>
        <w:top w:val="nil"/>
        <w:left w:val="nil"/>
        <w:bottom w:val="nil"/>
        <w:right w:val="nil"/>
        <w:between w:val="nil"/>
      </w:pBdr>
      <w:ind w:left="-1133"/>
      <w:rPr>
        <w:sz w:val="20"/>
        <w:szCs w:val="20"/>
      </w:rPr>
    </w:pPr>
  </w:p>
  <w:p w14:paraId="2703B078" w14:textId="77777777" w:rsidR="00B327CE" w:rsidRDefault="001F0A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05D"/>
    <w:multiLevelType w:val="multilevel"/>
    <w:tmpl w:val="927E6A50"/>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973BE8"/>
    <w:multiLevelType w:val="hybridMultilevel"/>
    <w:tmpl w:val="56380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D4463D"/>
    <w:multiLevelType w:val="multilevel"/>
    <w:tmpl w:val="C89ECC3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5475EA"/>
    <w:multiLevelType w:val="multilevel"/>
    <w:tmpl w:val="B26A24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4C6634"/>
    <w:multiLevelType w:val="hybridMultilevel"/>
    <w:tmpl w:val="5F1E926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4A6507"/>
    <w:multiLevelType w:val="hybridMultilevel"/>
    <w:tmpl w:val="5F1E9264"/>
    <w:lvl w:ilvl="0" w:tplc="32D2184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1A60AC8"/>
    <w:multiLevelType w:val="multilevel"/>
    <w:tmpl w:val="2AC66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C5A382D"/>
    <w:multiLevelType w:val="multilevel"/>
    <w:tmpl w:val="C23AB0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CC2777"/>
    <w:multiLevelType w:val="multilevel"/>
    <w:tmpl w:val="846803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79130517">
    <w:abstractNumId w:val="5"/>
  </w:num>
  <w:num w:numId="2" w16cid:durableId="1527795656">
    <w:abstractNumId w:val="7"/>
  </w:num>
  <w:num w:numId="3" w16cid:durableId="1995332698">
    <w:abstractNumId w:val="3"/>
  </w:num>
  <w:num w:numId="4" w16cid:durableId="557322909">
    <w:abstractNumId w:val="2"/>
  </w:num>
  <w:num w:numId="5" w16cid:durableId="1208418376">
    <w:abstractNumId w:val="0"/>
  </w:num>
  <w:num w:numId="6" w16cid:durableId="115413195">
    <w:abstractNumId w:val="6"/>
  </w:num>
  <w:num w:numId="7" w16cid:durableId="2140370833">
    <w:abstractNumId w:val="1"/>
  </w:num>
  <w:num w:numId="8" w16cid:durableId="792141362">
    <w:abstractNumId w:val="4"/>
  </w:num>
  <w:num w:numId="9" w16cid:durableId="1488280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77"/>
    <w:rsid w:val="000B6168"/>
    <w:rsid w:val="001F0AF4"/>
    <w:rsid w:val="001F7126"/>
    <w:rsid w:val="00270359"/>
    <w:rsid w:val="003F7E77"/>
    <w:rsid w:val="004F0CFF"/>
    <w:rsid w:val="005F1407"/>
    <w:rsid w:val="008447CE"/>
    <w:rsid w:val="00876A8C"/>
    <w:rsid w:val="00945AAB"/>
    <w:rsid w:val="009F61C6"/>
    <w:rsid w:val="00B53DEA"/>
    <w:rsid w:val="00DF7BF8"/>
    <w:rsid w:val="00F47C0A"/>
    <w:rsid w:val="00F834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AD1F"/>
  <w15:chartTrackingRefBased/>
  <w15:docId w15:val="{847DD7A5-09CD-4ADE-AD5A-2819F9E6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7E77"/>
    <w:pPr>
      <w:ind w:left="720"/>
      <w:contextualSpacing/>
    </w:pPr>
  </w:style>
  <w:style w:type="paragraph" w:styleId="Textonotapie">
    <w:name w:val="footnote text"/>
    <w:aliases w:val="Ref. de nota al pie1,referencia nota al pie,Appel note de bas de page,Texto de nota al pie,Footnotes refss,Footnote number,BVI fnr,f,Nota de pie,Texto nota al pie,4_G,16 Point,Superscript 6 Point,Ref. de nota al pie 2,Fago Fußnotenzeichen"/>
    <w:basedOn w:val="Normal"/>
    <w:link w:val="TextonotapieCar"/>
    <w:uiPriority w:val="99"/>
    <w:unhideWhenUsed/>
    <w:qFormat/>
    <w:rsid w:val="003F7E77"/>
    <w:pPr>
      <w:spacing w:after="0" w:line="240" w:lineRule="auto"/>
    </w:pPr>
    <w:rPr>
      <w:sz w:val="20"/>
      <w:szCs w:val="20"/>
    </w:rPr>
  </w:style>
  <w:style w:type="character" w:customStyle="1" w:styleId="TextonotapieCar">
    <w:name w:val="Texto nota pie Car"/>
    <w:aliases w:val="Ref. de nota al pie1 Car,referencia nota al pie Car,Appel note de bas de page Car,Texto de nota al pie Car,Footnotes refss Car,Footnote number Car,BVI fnr Car,f Car,Nota de pie Car,Texto nota al pie Car,4_G Car,16 Point Car"/>
    <w:basedOn w:val="Fuentedeprrafopredeter"/>
    <w:link w:val="Textonotapie"/>
    <w:uiPriority w:val="99"/>
    <w:rsid w:val="003F7E77"/>
    <w:rPr>
      <w:sz w:val="20"/>
      <w:szCs w:val="20"/>
    </w:rPr>
  </w:style>
  <w:style w:type="character" w:styleId="Refdenotaalpie">
    <w:name w:val="footnote reference"/>
    <w:basedOn w:val="Fuentedeprrafopredeter"/>
    <w:uiPriority w:val="99"/>
    <w:unhideWhenUsed/>
    <w:rsid w:val="003F7E77"/>
    <w:rPr>
      <w:vertAlign w:val="superscript"/>
    </w:rPr>
  </w:style>
  <w:style w:type="character" w:styleId="Hipervnculo">
    <w:name w:val="Hyperlink"/>
    <w:basedOn w:val="Fuentedeprrafopredeter"/>
    <w:uiPriority w:val="99"/>
    <w:unhideWhenUsed/>
    <w:rsid w:val="003F7E77"/>
    <w:rPr>
      <w:color w:val="0563C1" w:themeColor="hyperlink"/>
      <w:u w:val="single"/>
    </w:rPr>
  </w:style>
  <w:style w:type="table" w:styleId="Tablaconcuadrcula">
    <w:name w:val="Table Grid"/>
    <w:basedOn w:val="Tablanormal"/>
    <w:uiPriority w:val="39"/>
    <w:rsid w:val="003F7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7E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ao.org/3/cb5409es/cb5409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6781</Words>
  <Characters>37301</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Arrieta Betancourt</dc:creator>
  <cp:keywords/>
  <dc:description/>
  <cp:lastModifiedBy>Ana Maria Hinestrosa Villa</cp:lastModifiedBy>
  <cp:revision>2</cp:revision>
  <dcterms:created xsi:type="dcterms:W3CDTF">2022-04-19T17:29:00Z</dcterms:created>
  <dcterms:modified xsi:type="dcterms:W3CDTF">2022-04-19T17:29:00Z</dcterms:modified>
</cp:coreProperties>
</file>